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34" w:rightChars="-159"/>
        <w:jc w:val="center"/>
        <w:rPr>
          <w:rFonts w:ascii="宋体" w:hAnsi="宋体"/>
          <w:b/>
          <w:sz w:val="44"/>
          <w:szCs w:val="44"/>
        </w:rPr>
      </w:pPr>
    </w:p>
    <w:p>
      <w:pPr>
        <w:ind w:right="-334" w:rightChars="-159"/>
        <w:jc w:val="center"/>
        <w:rPr>
          <w:rFonts w:ascii="宋体" w:hAnsi="宋体"/>
          <w:b/>
          <w:sz w:val="36"/>
          <w:szCs w:val="36"/>
        </w:rPr>
      </w:pPr>
      <w:r>
        <w:rPr>
          <w:rFonts w:hint="eastAsia" w:ascii="宋体" w:hAnsi="宋体"/>
          <w:b/>
          <w:sz w:val="36"/>
          <w:szCs w:val="36"/>
        </w:rPr>
        <w:t>中国能建广东火电2020年校园招聘简章</w:t>
      </w:r>
    </w:p>
    <w:p>
      <w:pPr>
        <w:ind w:right="-334" w:rightChars="-159"/>
        <w:jc w:val="center"/>
        <w:rPr>
          <w:rFonts w:ascii="仿宋" w:hAnsi="仿宋" w:eastAsia="仿宋"/>
          <w:sz w:val="30"/>
        </w:rPr>
      </w:pPr>
    </w:p>
    <w:p>
      <w:pPr>
        <w:spacing w:line="360" w:lineRule="auto"/>
        <w:rPr>
          <w:rFonts w:ascii="仿宋" w:hAnsi="仿宋" w:eastAsia="仿宋"/>
          <w:b/>
          <w:sz w:val="24"/>
        </w:rPr>
      </w:pPr>
      <w:r>
        <w:rPr>
          <w:rFonts w:hint="eastAsia" w:ascii="仿宋" w:hAnsi="仿宋" w:eastAsia="仿宋"/>
          <w:b/>
          <w:sz w:val="24"/>
        </w:rPr>
        <w:t>一、公司简介</w:t>
      </w:r>
    </w:p>
    <w:p>
      <w:pPr>
        <w:spacing w:line="360" w:lineRule="auto"/>
        <w:ind w:firstLine="480" w:firstLineChars="200"/>
        <w:rPr>
          <w:rFonts w:ascii="仿宋" w:hAnsi="仿宋" w:eastAsia="仿宋"/>
          <w:sz w:val="24"/>
        </w:rPr>
      </w:pPr>
      <w:r>
        <w:rPr>
          <w:rFonts w:hint="eastAsia" w:ascii="仿宋" w:hAnsi="仿宋" w:eastAsia="仿宋"/>
          <w:sz w:val="24"/>
        </w:rPr>
        <w:t>中国能源建设集团广东火电工程有限公司成立于1956年，隶属于央企中国能源建设股份有限公司（世界500强企业），是一家具有电力工程总承包能力的综合性大型企业。本部位于广州市黄埔区，</w:t>
      </w:r>
      <w:r>
        <w:rPr>
          <w:rFonts w:ascii="仿宋" w:hAnsi="仿宋" w:eastAsia="仿宋"/>
          <w:sz w:val="24"/>
        </w:rPr>
        <w:t>拥有</w:t>
      </w:r>
      <w:r>
        <w:rPr>
          <w:rFonts w:hint="eastAsia" w:ascii="仿宋" w:hAnsi="仿宋" w:eastAsia="仿宋"/>
          <w:sz w:val="24"/>
        </w:rPr>
        <w:t>8家法人公司、12家专业公司及30多个国内外工程项目，职工5000多人。六十年来，广东火电在电力建设中辛勤耕耘，足迹遍及祖国各地，承担过数百项大中型电力建设工程，总装机容量达7422万千瓦，是国内核电站、常规电站、燃机、风电等新能源电站工程主要承建商，公司大力推进走出去战略，工程业务遍布亚洲、非洲、欧洲、北美洲等区域国家。中国能源建设集团广东火电工程有限公司不断地追求卓越，精益求精，未来五年将致力于成为国内领先、国际有一定影响的工程公司。</w:t>
      </w:r>
    </w:p>
    <w:p>
      <w:pPr>
        <w:spacing w:line="360" w:lineRule="auto"/>
        <w:rPr>
          <w:rFonts w:ascii="仿宋" w:hAnsi="仿宋" w:eastAsia="仿宋" w:cs="宋体"/>
          <w:b/>
          <w:bCs/>
          <w:color w:val="000000" w:themeColor="text1"/>
          <w:sz w:val="24"/>
        </w:rPr>
      </w:pPr>
      <w:r>
        <w:rPr>
          <w:rFonts w:hint="eastAsia" w:ascii="仿宋" w:hAnsi="仿宋" w:eastAsia="仿宋" w:cs="宋体"/>
          <w:b/>
          <w:bCs/>
          <w:sz w:val="24"/>
        </w:rPr>
        <w:t>二、</w:t>
      </w:r>
      <w:r>
        <w:rPr>
          <w:rFonts w:hint="eastAsia" w:ascii="仿宋" w:hAnsi="仿宋" w:eastAsia="仿宋" w:cs="宋体"/>
          <w:b/>
          <w:bCs/>
          <w:color w:val="000000" w:themeColor="text1"/>
          <w:sz w:val="24"/>
        </w:rPr>
        <w:t>招聘岗位</w:t>
      </w:r>
    </w:p>
    <w:tbl>
      <w:tblPr>
        <w:tblStyle w:val="12"/>
        <w:tblW w:w="7796" w:type="dxa"/>
        <w:tblInd w:w="817" w:type="dxa"/>
        <w:tblLayout w:type="fixed"/>
        <w:tblCellMar>
          <w:top w:w="0" w:type="dxa"/>
          <w:left w:w="108" w:type="dxa"/>
          <w:bottom w:w="0" w:type="dxa"/>
          <w:right w:w="108" w:type="dxa"/>
        </w:tblCellMar>
      </w:tblPr>
      <w:tblGrid>
        <w:gridCol w:w="2111"/>
        <w:gridCol w:w="5685"/>
      </w:tblGrid>
      <w:tr>
        <w:tblPrEx>
          <w:tblLayout w:type="fixed"/>
          <w:tblCellMar>
            <w:top w:w="0" w:type="dxa"/>
            <w:left w:w="108" w:type="dxa"/>
            <w:bottom w:w="0" w:type="dxa"/>
            <w:right w:w="108" w:type="dxa"/>
          </w:tblCellMar>
        </w:tblPrEx>
        <w:trPr>
          <w:trHeight w:val="360" w:hRule="atLeast"/>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岗位</w:t>
            </w:r>
          </w:p>
        </w:tc>
        <w:tc>
          <w:tcPr>
            <w:tcW w:w="56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专业</w:t>
            </w:r>
          </w:p>
        </w:tc>
      </w:tr>
      <w:tr>
        <w:tblPrEx>
          <w:tblLayout w:type="fixed"/>
          <w:tblCellMar>
            <w:top w:w="0" w:type="dxa"/>
            <w:left w:w="108" w:type="dxa"/>
            <w:bottom w:w="0" w:type="dxa"/>
            <w:right w:w="108" w:type="dxa"/>
          </w:tblCellMar>
        </w:tblPrEx>
        <w:trPr>
          <w:trHeight w:val="360" w:hRule="atLeast"/>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电气技术管理岗</w:t>
            </w:r>
          </w:p>
        </w:tc>
        <w:tc>
          <w:tcPr>
            <w:tcW w:w="56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电气工程及其自动化、电力系统及其自动化、发电厂及电力系统、电力系统继电保护与自动化等</w:t>
            </w:r>
          </w:p>
        </w:tc>
      </w:tr>
      <w:tr>
        <w:tblPrEx>
          <w:tblLayout w:type="fixed"/>
          <w:tblCellMar>
            <w:top w:w="0" w:type="dxa"/>
            <w:left w:w="108" w:type="dxa"/>
            <w:bottom w:w="0" w:type="dxa"/>
            <w:right w:w="108" w:type="dxa"/>
          </w:tblCellMar>
        </w:tblPrEx>
        <w:trPr>
          <w:trHeight w:val="360" w:hRule="atLeast"/>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土建技术管理岗</w:t>
            </w:r>
          </w:p>
        </w:tc>
        <w:tc>
          <w:tcPr>
            <w:tcW w:w="56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土木工程、建筑学、建筑工程技术、建筑环境与设备工程、给水排水工程、水文与水资源工程、测绘工程、岩土工程、结构工程、通风及空调工程等</w:t>
            </w:r>
          </w:p>
        </w:tc>
      </w:tr>
      <w:tr>
        <w:tblPrEx>
          <w:tblLayout w:type="fixed"/>
          <w:tblCellMar>
            <w:top w:w="0" w:type="dxa"/>
            <w:left w:w="108" w:type="dxa"/>
            <w:bottom w:w="0" w:type="dxa"/>
            <w:right w:w="108" w:type="dxa"/>
          </w:tblCellMar>
        </w:tblPrEx>
        <w:trPr>
          <w:trHeight w:val="360" w:hRule="atLeast"/>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计划经营管理岗</w:t>
            </w:r>
          </w:p>
        </w:tc>
        <w:tc>
          <w:tcPr>
            <w:tcW w:w="56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工程管理、工程造价、土木工程等</w:t>
            </w:r>
          </w:p>
        </w:tc>
      </w:tr>
      <w:tr>
        <w:tblPrEx>
          <w:tblLayout w:type="fixed"/>
          <w:tblCellMar>
            <w:top w:w="0" w:type="dxa"/>
            <w:left w:w="108" w:type="dxa"/>
            <w:bottom w:w="0" w:type="dxa"/>
            <w:right w:w="108" w:type="dxa"/>
          </w:tblCellMar>
        </w:tblPrEx>
        <w:trPr>
          <w:trHeight w:val="360" w:hRule="atLeast"/>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市政、公路技术管理岗</w:t>
            </w:r>
          </w:p>
        </w:tc>
        <w:tc>
          <w:tcPr>
            <w:tcW w:w="56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市政工程技术、给排水工程技术、道路桥梁工程技术、公路工程管理等</w:t>
            </w:r>
          </w:p>
        </w:tc>
      </w:tr>
      <w:tr>
        <w:tblPrEx>
          <w:tblLayout w:type="fixed"/>
          <w:tblCellMar>
            <w:top w:w="0" w:type="dxa"/>
            <w:left w:w="108" w:type="dxa"/>
            <w:bottom w:w="0" w:type="dxa"/>
            <w:right w:w="108" w:type="dxa"/>
          </w:tblCellMar>
        </w:tblPrEx>
        <w:trPr>
          <w:trHeight w:val="360" w:hRule="atLeast"/>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海上工程管理岗</w:t>
            </w:r>
          </w:p>
        </w:tc>
        <w:tc>
          <w:tcPr>
            <w:tcW w:w="56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船舶与海洋工程</w:t>
            </w:r>
          </w:p>
        </w:tc>
      </w:tr>
      <w:tr>
        <w:tblPrEx>
          <w:tblLayout w:type="fixed"/>
          <w:tblCellMar>
            <w:top w:w="0" w:type="dxa"/>
            <w:left w:w="108" w:type="dxa"/>
            <w:bottom w:w="0" w:type="dxa"/>
            <w:right w:w="108" w:type="dxa"/>
          </w:tblCellMar>
        </w:tblPrEx>
        <w:trPr>
          <w:trHeight w:val="360" w:hRule="atLeast"/>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安全管理岗</w:t>
            </w:r>
          </w:p>
        </w:tc>
        <w:tc>
          <w:tcPr>
            <w:tcW w:w="56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安全工程</w:t>
            </w:r>
          </w:p>
        </w:tc>
      </w:tr>
      <w:tr>
        <w:tblPrEx>
          <w:tblLayout w:type="fixed"/>
          <w:tblCellMar>
            <w:top w:w="0" w:type="dxa"/>
            <w:left w:w="108" w:type="dxa"/>
            <w:bottom w:w="0" w:type="dxa"/>
            <w:right w:w="108" w:type="dxa"/>
          </w:tblCellMar>
        </w:tblPrEx>
        <w:trPr>
          <w:trHeight w:val="360" w:hRule="atLeast"/>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热动技术管理岗</w:t>
            </w:r>
          </w:p>
        </w:tc>
        <w:tc>
          <w:tcPr>
            <w:tcW w:w="56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热能与动力工程、核工程与核技术、热能工程等</w:t>
            </w:r>
          </w:p>
        </w:tc>
      </w:tr>
      <w:tr>
        <w:tblPrEx>
          <w:tblLayout w:type="fixed"/>
          <w:tblCellMar>
            <w:top w:w="0" w:type="dxa"/>
            <w:left w:w="108" w:type="dxa"/>
            <w:bottom w:w="0" w:type="dxa"/>
            <w:right w:w="108" w:type="dxa"/>
          </w:tblCellMar>
        </w:tblPrEx>
        <w:trPr>
          <w:trHeight w:val="360" w:hRule="atLeast"/>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机械技术管理岗</w:t>
            </w:r>
          </w:p>
        </w:tc>
        <w:tc>
          <w:tcPr>
            <w:tcW w:w="56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机械设计制造及其自动化、过程装备与控制工程、机械电子工程、测控技术与仪器、测试计量技术及仪器、精密仪器及机械、材料工程等</w:t>
            </w:r>
          </w:p>
        </w:tc>
      </w:tr>
      <w:tr>
        <w:tblPrEx>
          <w:tblLayout w:type="fixed"/>
          <w:tblCellMar>
            <w:top w:w="0" w:type="dxa"/>
            <w:left w:w="108" w:type="dxa"/>
            <w:bottom w:w="0" w:type="dxa"/>
            <w:right w:w="108" w:type="dxa"/>
          </w:tblCellMar>
        </w:tblPrEx>
        <w:trPr>
          <w:trHeight w:val="360" w:hRule="atLeast"/>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油保技术管理岗</w:t>
            </w:r>
          </w:p>
        </w:tc>
        <w:tc>
          <w:tcPr>
            <w:tcW w:w="56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应用化学、化学等</w:t>
            </w:r>
          </w:p>
        </w:tc>
      </w:tr>
      <w:tr>
        <w:tblPrEx>
          <w:tblLayout w:type="fixed"/>
          <w:tblCellMar>
            <w:top w:w="0" w:type="dxa"/>
            <w:left w:w="108" w:type="dxa"/>
            <w:bottom w:w="0" w:type="dxa"/>
            <w:right w:w="108" w:type="dxa"/>
          </w:tblCellMar>
        </w:tblPrEx>
        <w:trPr>
          <w:trHeight w:val="360" w:hRule="atLeast"/>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无损检测技术岗</w:t>
            </w:r>
          </w:p>
        </w:tc>
        <w:tc>
          <w:tcPr>
            <w:tcW w:w="56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无损检测、金属材料</w:t>
            </w:r>
          </w:p>
        </w:tc>
      </w:tr>
      <w:tr>
        <w:tblPrEx>
          <w:tblLayout w:type="fixed"/>
          <w:tblCellMar>
            <w:top w:w="0" w:type="dxa"/>
            <w:left w:w="108" w:type="dxa"/>
            <w:bottom w:w="0" w:type="dxa"/>
            <w:right w:w="108" w:type="dxa"/>
          </w:tblCellMar>
        </w:tblPrEx>
        <w:trPr>
          <w:trHeight w:val="360" w:hRule="atLeast"/>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财务管理岗</w:t>
            </w:r>
          </w:p>
        </w:tc>
        <w:tc>
          <w:tcPr>
            <w:tcW w:w="56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会计学、财务管理、审计学、税务等</w:t>
            </w:r>
          </w:p>
        </w:tc>
      </w:tr>
      <w:tr>
        <w:tblPrEx>
          <w:tblLayout w:type="fixed"/>
          <w:tblCellMar>
            <w:top w:w="0" w:type="dxa"/>
            <w:left w:w="108" w:type="dxa"/>
            <w:bottom w:w="0" w:type="dxa"/>
            <w:right w:w="108" w:type="dxa"/>
          </w:tblCellMar>
        </w:tblPrEx>
        <w:trPr>
          <w:trHeight w:val="360" w:hRule="atLeast"/>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行政管理岗</w:t>
            </w:r>
          </w:p>
        </w:tc>
        <w:tc>
          <w:tcPr>
            <w:tcW w:w="56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行政管理、企业管理等</w:t>
            </w:r>
          </w:p>
        </w:tc>
      </w:tr>
      <w:tr>
        <w:tblPrEx>
          <w:tblLayout w:type="fixed"/>
          <w:tblCellMar>
            <w:top w:w="0" w:type="dxa"/>
            <w:left w:w="108" w:type="dxa"/>
            <w:bottom w:w="0" w:type="dxa"/>
            <w:right w:w="108" w:type="dxa"/>
          </w:tblCellMar>
        </w:tblPrEx>
        <w:trPr>
          <w:trHeight w:val="360" w:hRule="atLeast"/>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党务管理岗</w:t>
            </w:r>
          </w:p>
        </w:tc>
        <w:tc>
          <w:tcPr>
            <w:tcW w:w="56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新闻学、广播电视新闻学、艺术设计学、传播学、汉语言文学等</w:t>
            </w:r>
          </w:p>
        </w:tc>
      </w:tr>
      <w:tr>
        <w:tblPrEx>
          <w:tblLayout w:type="fixed"/>
          <w:tblCellMar>
            <w:top w:w="0" w:type="dxa"/>
            <w:left w:w="108" w:type="dxa"/>
            <w:bottom w:w="0" w:type="dxa"/>
            <w:right w:w="108" w:type="dxa"/>
          </w:tblCellMar>
        </w:tblPrEx>
        <w:trPr>
          <w:trHeight w:val="360" w:hRule="atLeast"/>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法务管理岗</w:t>
            </w:r>
          </w:p>
        </w:tc>
        <w:tc>
          <w:tcPr>
            <w:tcW w:w="56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法学、民商法学、经济法学等</w:t>
            </w:r>
          </w:p>
        </w:tc>
      </w:tr>
      <w:tr>
        <w:tblPrEx>
          <w:tblLayout w:type="fixed"/>
          <w:tblCellMar>
            <w:top w:w="0" w:type="dxa"/>
            <w:left w:w="108" w:type="dxa"/>
            <w:bottom w:w="0" w:type="dxa"/>
            <w:right w:w="108" w:type="dxa"/>
          </w:tblCellMar>
        </w:tblPrEx>
        <w:trPr>
          <w:trHeight w:val="360" w:hRule="atLeast"/>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人力资源管理岗</w:t>
            </w:r>
          </w:p>
        </w:tc>
        <w:tc>
          <w:tcPr>
            <w:tcW w:w="56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人力资源管理</w:t>
            </w:r>
          </w:p>
        </w:tc>
      </w:tr>
      <w:tr>
        <w:tblPrEx>
          <w:tblLayout w:type="fixed"/>
          <w:tblCellMar>
            <w:top w:w="0" w:type="dxa"/>
            <w:left w:w="108" w:type="dxa"/>
            <w:bottom w:w="0" w:type="dxa"/>
            <w:right w:w="108" w:type="dxa"/>
          </w:tblCellMar>
        </w:tblPrEx>
        <w:trPr>
          <w:trHeight w:val="360" w:hRule="atLeast"/>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物资、物流管理岗</w:t>
            </w:r>
          </w:p>
        </w:tc>
        <w:tc>
          <w:tcPr>
            <w:tcW w:w="56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物流管理、物流工程</w:t>
            </w:r>
          </w:p>
        </w:tc>
      </w:tr>
      <w:tr>
        <w:tblPrEx>
          <w:tblLayout w:type="fixed"/>
          <w:tblCellMar>
            <w:top w:w="0" w:type="dxa"/>
            <w:left w:w="108" w:type="dxa"/>
            <w:bottom w:w="0" w:type="dxa"/>
            <w:right w:w="108" w:type="dxa"/>
          </w:tblCellMar>
        </w:tblPrEx>
        <w:trPr>
          <w:trHeight w:val="360" w:hRule="atLeast"/>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采购管理岗</w:t>
            </w:r>
          </w:p>
        </w:tc>
        <w:tc>
          <w:tcPr>
            <w:tcW w:w="56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国际经济与贸易、物流管理、热能与动力工程、机械设计制造及其自动化、英语等</w:t>
            </w:r>
          </w:p>
        </w:tc>
      </w:tr>
      <w:tr>
        <w:tblPrEx>
          <w:tblLayout w:type="fixed"/>
          <w:tblCellMar>
            <w:top w:w="0" w:type="dxa"/>
            <w:left w:w="108" w:type="dxa"/>
            <w:bottom w:w="0" w:type="dxa"/>
            <w:right w:w="108" w:type="dxa"/>
          </w:tblCellMar>
        </w:tblPrEx>
        <w:trPr>
          <w:trHeight w:val="360" w:hRule="atLeast"/>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文件管理岗</w:t>
            </w:r>
          </w:p>
        </w:tc>
        <w:tc>
          <w:tcPr>
            <w:tcW w:w="56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sz w:val="24"/>
              </w:rPr>
            </w:pPr>
            <w:r>
              <w:rPr>
                <w:rFonts w:hint="eastAsia" w:ascii="仿宋" w:hAnsi="仿宋" w:eastAsia="仿宋"/>
                <w:color w:val="000000" w:themeColor="text1"/>
                <w:sz w:val="24"/>
              </w:rPr>
              <w:t>英语、计算机科学与技术、档案学、图书馆学、信息资源管理等</w:t>
            </w:r>
          </w:p>
        </w:tc>
      </w:tr>
    </w:tbl>
    <w:p>
      <w:pPr>
        <w:numPr>
          <w:ilvl w:val="0"/>
          <w:numId w:val="1"/>
        </w:numPr>
        <w:spacing w:line="360" w:lineRule="auto"/>
        <w:rPr>
          <w:rFonts w:hint="eastAsia" w:ascii="仿宋" w:hAnsi="仿宋" w:eastAsia="仿宋" w:cs="宋体"/>
          <w:b/>
          <w:bCs/>
          <w:sz w:val="24"/>
          <w:lang w:val="en-US" w:eastAsia="zh-CN"/>
        </w:rPr>
      </w:pPr>
      <w:r>
        <w:rPr>
          <w:rFonts w:hint="eastAsia" w:ascii="仿宋" w:hAnsi="仿宋" w:eastAsia="仿宋" w:cs="宋体"/>
          <w:b/>
          <w:bCs/>
          <w:sz w:val="24"/>
          <w:lang w:val="en-US" w:eastAsia="zh-CN"/>
        </w:rPr>
        <w:t>武汉站招聘行程</w:t>
      </w:r>
    </w:p>
    <w:tbl>
      <w:tblPr>
        <w:tblStyle w:val="12"/>
        <w:tblW w:w="850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2350"/>
        <w:gridCol w:w="1150"/>
        <w:gridCol w:w="1862"/>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13" w:type="dxa"/>
            <w:shd w:val="clear" w:color="auto" w:fill="auto"/>
            <w:vAlign w:val="center"/>
          </w:tcPr>
          <w:p>
            <w:pPr>
              <w:numPr>
                <w:numId w:val="0"/>
              </w:numPr>
              <w:spacing w:line="360" w:lineRule="auto"/>
              <w:rPr>
                <w:rFonts w:hint="eastAsia" w:ascii="仿宋" w:hAnsi="仿宋" w:eastAsia="仿宋"/>
                <w:color w:val="000000" w:themeColor="text1"/>
                <w:sz w:val="24"/>
              </w:rPr>
            </w:pPr>
            <w:r>
              <w:rPr>
                <w:rFonts w:hint="eastAsia" w:ascii="仿宋" w:hAnsi="仿宋" w:eastAsia="仿宋" w:cs="宋体"/>
                <w:b/>
                <w:bCs/>
                <w:sz w:val="24"/>
                <w:lang w:val="en-US" w:eastAsia="zh-CN"/>
              </w:rPr>
              <w:t xml:space="preserve">       </w:t>
            </w:r>
            <w:bookmarkStart w:id="0" w:name="_GoBack"/>
            <w:bookmarkEnd w:id="0"/>
            <w:r>
              <w:rPr>
                <w:rFonts w:hint="eastAsia" w:ascii="仿宋" w:hAnsi="仿宋" w:eastAsia="仿宋"/>
                <w:color w:val="000000" w:themeColor="text1"/>
                <w:sz w:val="24"/>
              </w:rPr>
              <w:t>学校</w:t>
            </w:r>
          </w:p>
        </w:tc>
        <w:tc>
          <w:tcPr>
            <w:tcW w:w="2350" w:type="dxa"/>
            <w:shd w:val="clear" w:color="auto" w:fill="auto"/>
            <w:vAlign w:val="center"/>
          </w:tcPr>
          <w:p>
            <w:pPr>
              <w:widowControl/>
              <w:jc w:val="center"/>
              <w:rPr>
                <w:rFonts w:hint="eastAsia" w:ascii="仿宋" w:hAnsi="仿宋" w:eastAsia="仿宋"/>
                <w:color w:val="000000" w:themeColor="text1"/>
                <w:sz w:val="24"/>
              </w:rPr>
            </w:pPr>
            <w:r>
              <w:rPr>
                <w:rFonts w:hint="eastAsia" w:ascii="仿宋" w:hAnsi="仿宋" w:eastAsia="仿宋"/>
                <w:color w:val="000000" w:themeColor="text1"/>
                <w:sz w:val="24"/>
              </w:rPr>
              <w:t>时间</w:t>
            </w:r>
          </w:p>
        </w:tc>
        <w:tc>
          <w:tcPr>
            <w:tcW w:w="1150" w:type="dxa"/>
            <w:shd w:val="clear" w:color="auto" w:fill="auto"/>
            <w:vAlign w:val="center"/>
          </w:tcPr>
          <w:p>
            <w:pPr>
              <w:widowControl/>
              <w:jc w:val="center"/>
              <w:rPr>
                <w:rFonts w:hint="eastAsia" w:ascii="仿宋" w:hAnsi="仿宋" w:eastAsia="仿宋"/>
                <w:color w:val="000000" w:themeColor="text1"/>
                <w:sz w:val="24"/>
              </w:rPr>
            </w:pPr>
            <w:r>
              <w:rPr>
                <w:rFonts w:hint="eastAsia" w:ascii="仿宋" w:hAnsi="仿宋" w:eastAsia="仿宋"/>
                <w:color w:val="000000" w:themeColor="text1"/>
                <w:sz w:val="24"/>
              </w:rPr>
              <w:t>类型</w:t>
            </w:r>
          </w:p>
        </w:tc>
        <w:tc>
          <w:tcPr>
            <w:tcW w:w="1862" w:type="dxa"/>
            <w:shd w:val="clear" w:color="auto" w:fill="auto"/>
            <w:vAlign w:val="center"/>
          </w:tcPr>
          <w:p>
            <w:pPr>
              <w:widowControl/>
              <w:jc w:val="center"/>
              <w:rPr>
                <w:rFonts w:hint="eastAsia" w:ascii="仿宋" w:hAnsi="仿宋" w:eastAsia="仿宋"/>
                <w:color w:val="000000" w:themeColor="text1"/>
                <w:sz w:val="24"/>
              </w:rPr>
            </w:pPr>
            <w:r>
              <w:rPr>
                <w:rFonts w:hint="eastAsia" w:ascii="仿宋" w:hAnsi="仿宋" w:eastAsia="仿宋"/>
                <w:color w:val="000000" w:themeColor="text1"/>
                <w:sz w:val="24"/>
              </w:rPr>
              <w:t>宣讲场地</w:t>
            </w:r>
          </w:p>
        </w:tc>
        <w:tc>
          <w:tcPr>
            <w:tcW w:w="1425" w:type="dxa"/>
            <w:shd w:val="clear" w:color="auto" w:fill="auto"/>
            <w:vAlign w:val="center"/>
          </w:tcPr>
          <w:p>
            <w:pPr>
              <w:widowControl/>
              <w:jc w:val="center"/>
              <w:rPr>
                <w:rFonts w:hint="eastAsia" w:ascii="仿宋" w:hAnsi="仿宋" w:eastAsia="仿宋"/>
                <w:color w:val="000000" w:themeColor="text1"/>
                <w:sz w:val="24"/>
              </w:rPr>
            </w:pPr>
            <w:r>
              <w:rPr>
                <w:rFonts w:hint="eastAsia" w:ascii="仿宋" w:hAnsi="仿宋" w:eastAsia="仿宋"/>
                <w:color w:val="000000" w:themeColor="text1"/>
                <w:sz w:val="24"/>
              </w:rPr>
              <w:t>面试场地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13" w:type="dxa"/>
            <w:shd w:val="clear" w:color="auto" w:fill="auto"/>
            <w:vAlign w:val="center"/>
          </w:tcPr>
          <w:p>
            <w:pPr>
              <w:widowControl/>
              <w:jc w:val="center"/>
              <w:rPr>
                <w:rFonts w:hint="eastAsia" w:ascii="仿宋" w:hAnsi="仿宋" w:eastAsia="仿宋"/>
                <w:color w:val="000000" w:themeColor="text1"/>
                <w:sz w:val="24"/>
              </w:rPr>
            </w:pPr>
            <w:r>
              <w:rPr>
                <w:rFonts w:hint="eastAsia" w:ascii="仿宋" w:hAnsi="仿宋" w:eastAsia="仿宋"/>
                <w:color w:val="000000" w:themeColor="text1"/>
                <w:sz w:val="24"/>
              </w:rPr>
              <w:t>武汉大学</w:t>
            </w:r>
          </w:p>
        </w:tc>
        <w:tc>
          <w:tcPr>
            <w:tcW w:w="2350" w:type="dxa"/>
            <w:shd w:val="clear" w:color="auto" w:fill="auto"/>
            <w:vAlign w:val="center"/>
          </w:tcPr>
          <w:p>
            <w:pPr>
              <w:widowControl/>
              <w:jc w:val="center"/>
              <w:rPr>
                <w:rFonts w:hint="eastAsia" w:ascii="仿宋" w:hAnsi="仿宋" w:eastAsia="仿宋"/>
                <w:color w:val="000000" w:themeColor="text1"/>
                <w:sz w:val="24"/>
              </w:rPr>
            </w:pPr>
            <w:r>
              <w:rPr>
                <w:rFonts w:hint="eastAsia" w:ascii="仿宋" w:hAnsi="仿宋" w:eastAsia="仿宋"/>
                <w:color w:val="000000" w:themeColor="text1"/>
                <w:sz w:val="24"/>
              </w:rPr>
              <w:t>2019年11月13日</w:t>
            </w:r>
            <w:r>
              <w:rPr>
                <w:rFonts w:hint="eastAsia" w:ascii="仿宋" w:hAnsi="仿宋" w:eastAsia="仿宋"/>
                <w:color w:val="000000" w:themeColor="text1"/>
                <w:sz w:val="24"/>
              </w:rPr>
              <w:br w:type="textWrapping"/>
            </w:r>
            <w:r>
              <w:rPr>
                <w:rFonts w:hint="eastAsia" w:ascii="仿宋" w:hAnsi="仿宋" w:eastAsia="仿宋"/>
                <w:color w:val="000000" w:themeColor="text1"/>
                <w:sz w:val="24"/>
              </w:rPr>
              <w:t>19:00—21:30</w:t>
            </w:r>
          </w:p>
        </w:tc>
        <w:tc>
          <w:tcPr>
            <w:tcW w:w="1150" w:type="dxa"/>
            <w:shd w:val="clear" w:color="auto" w:fill="auto"/>
            <w:vAlign w:val="center"/>
          </w:tcPr>
          <w:p>
            <w:pPr>
              <w:widowControl/>
              <w:jc w:val="center"/>
              <w:rPr>
                <w:rFonts w:hint="eastAsia" w:ascii="仿宋" w:hAnsi="仿宋" w:eastAsia="仿宋"/>
                <w:color w:val="000000" w:themeColor="text1"/>
                <w:sz w:val="24"/>
              </w:rPr>
            </w:pPr>
            <w:r>
              <w:rPr>
                <w:rFonts w:hint="eastAsia" w:ascii="仿宋" w:hAnsi="仿宋" w:eastAsia="仿宋"/>
                <w:color w:val="000000" w:themeColor="text1"/>
                <w:sz w:val="24"/>
              </w:rPr>
              <w:t>宣讲会</w:t>
            </w:r>
          </w:p>
        </w:tc>
        <w:tc>
          <w:tcPr>
            <w:tcW w:w="1862" w:type="dxa"/>
            <w:shd w:val="clear" w:color="auto" w:fill="auto"/>
            <w:vAlign w:val="center"/>
          </w:tcPr>
          <w:p>
            <w:pPr>
              <w:widowControl/>
              <w:jc w:val="center"/>
              <w:rPr>
                <w:rFonts w:hint="eastAsia" w:ascii="仿宋" w:hAnsi="仿宋" w:eastAsia="仿宋"/>
                <w:color w:val="000000" w:themeColor="text1"/>
                <w:sz w:val="24"/>
              </w:rPr>
            </w:pPr>
            <w:r>
              <w:rPr>
                <w:rFonts w:hint="eastAsia" w:ascii="仿宋" w:hAnsi="仿宋" w:eastAsia="仿宋"/>
                <w:color w:val="000000" w:themeColor="text1"/>
                <w:sz w:val="24"/>
              </w:rPr>
              <w:t>信息学部就业中心卓越厅</w:t>
            </w:r>
          </w:p>
        </w:tc>
        <w:tc>
          <w:tcPr>
            <w:tcW w:w="1425" w:type="dxa"/>
            <w:shd w:val="clear" w:color="auto" w:fill="auto"/>
            <w:vAlign w:val="center"/>
          </w:tcPr>
          <w:p>
            <w:pPr>
              <w:widowControl/>
              <w:jc w:val="center"/>
              <w:rPr>
                <w:rFonts w:hint="eastAsia" w:ascii="仿宋" w:hAnsi="仿宋" w:eastAsia="仿宋"/>
                <w:color w:val="000000" w:themeColor="text1"/>
                <w:sz w:val="24"/>
                <w:lang w:val="en-US" w:eastAsia="zh-CN"/>
              </w:rPr>
            </w:pPr>
            <w:r>
              <w:rPr>
                <w:rFonts w:hint="eastAsia" w:ascii="仿宋" w:hAnsi="仿宋" w:eastAsia="仿宋"/>
                <w:color w:val="000000" w:themeColor="text1"/>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13" w:type="dxa"/>
            <w:shd w:val="clear" w:color="auto" w:fill="auto"/>
            <w:vAlign w:val="center"/>
          </w:tcPr>
          <w:p>
            <w:pPr>
              <w:widowControl/>
              <w:jc w:val="center"/>
              <w:rPr>
                <w:rFonts w:hint="eastAsia" w:ascii="仿宋" w:hAnsi="仿宋" w:eastAsia="仿宋"/>
                <w:color w:val="000000" w:themeColor="text1"/>
                <w:sz w:val="24"/>
              </w:rPr>
            </w:pPr>
            <w:r>
              <w:rPr>
                <w:rFonts w:hint="eastAsia" w:ascii="仿宋" w:hAnsi="仿宋" w:eastAsia="仿宋"/>
                <w:color w:val="000000" w:themeColor="text1"/>
                <w:sz w:val="24"/>
              </w:rPr>
              <w:t>华中科技大学</w:t>
            </w:r>
          </w:p>
        </w:tc>
        <w:tc>
          <w:tcPr>
            <w:tcW w:w="2350" w:type="dxa"/>
            <w:shd w:val="clear" w:color="auto" w:fill="auto"/>
            <w:vAlign w:val="center"/>
          </w:tcPr>
          <w:p>
            <w:pPr>
              <w:widowControl/>
              <w:jc w:val="center"/>
              <w:rPr>
                <w:rFonts w:hint="eastAsia" w:ascii="仿宋" w:hAnsi="仿宋" w:eastAsia="仿宋"/>
                <w:color w:val="000000" w:themeColor="text1"/>
                <w:sz w:val="24"/>
              </w:rPr>
            </w:pPr>
            <w:r>
              <w:rPr>
                <w:rFonts w:hint="eastAsia" w:ascii="仿宋" w:hAnsi="仿宋" w:eastAsia="仿宋"/>
                <w:color w:val="000000" w:themeColor="text1"/>
                <w:sz w:val="24"/>
              </w:rPr>
              <w:t>2019年11月14日</w:t>
            </w:r>
            <w:r>
              <w:rPr>
                <w:rFonts w:hint="eastAsia" w:ascii="仿宋" w:hAnsi="仿宋" w:eastAsia="仿宋"/>
                <w:color w:val="000000" w:themeColor="text1"/>
                <w:sz w:val="24"/>
              </w:rPr>
              <w:br w:type="textWrapping"/>
            </w:r>
            <w:r>
              <w:rPr>
                <w:rFonts w:hint="eastAsia" w:ascii="仿宋" w:hAnsi="仿宋" w:eastAsia="仿宋"/>
                <w:color w:val="000000" w:themeColor="text1"/>
                <w:sz w:val="24"/>
              </w:rPr>
              <w:t>14:30-17:30</w:t>
            </w:r>
          </w:p>
        </w:tc>
        <w:tc>
          <w:tcPr>
            <w:tcW w:w="1150" w:type="dxa"/>
            <w:shd w:val="clear" w:color="auto" w:fill="auto"/>
            <w:vAlign w:val="center"/>
          </w:tcPr>
          <w:p>
            <w:pPr>
              <w:widowControl/>
              <w:jc w:val="center"/>
              <w:rPr>
                <w:rFonts w:hint="eastAsia" w:ascii="仿宋" w:hAnsi="仿宋" w:eastAsia="仿宋"/>
                <w:color w:val="000000" w:themeColor="text1"/>
                <w:sz w:val="24"/>
              </w:rPr>
            </w:pPr>
            <w:r>
              <w:rPr>
                <w:rFonts w:hint="eastAsia" w:ascii="仿宋" w:hAnsi="仿宋" w:eastAsia="仿宋"/>
                <w:color w:val="000000" w:themeColor="text1"/>
                <w:sz w:val="24"/>
              </w:rPr>
              <w:t>宣讲会</w:t>
            </w:r>
          </w:p>
        </w:tc>
        <w:tc>
          <w:tcPr>
            <w:tcW w:w="1862" w:type="dxa"/>
            <w:shd w:val="clear" w:color="auto" w:fill="auto"/>
            <w:vAlign w:val="center"/>
          </w:tcPr>
          <w:p>
            <w:pPr>
              <w:widowControl/>
              <w:jc w:val="center"/>
              <w:rPr>
                <w:rFonts w:hint="eastAsia" w:ascii="仿宋" w:hAnsi="仿宋" w:eastAsia="仿宋"/>
                <w:color w:val="000000" w:themeColor="text1"/>
                <w:sz w:val="24"/>
              </w:rPr>
            </w:pPr>
            <w:r>
              <w:rPr>
                <w:rFonts w:hint="eastAsia" w:ascii="仿宋" w:hAnsi="仿宋" w:eastAsia="仿宋"/>
                <w:color w:val="000000" w:themeColor="text1"/>
                <w:sz w:val="24"/>
              </w:rPr>
              <w:t>大学生活动中心B座302</w:t>
            </w:r>
          </w:p>
        </w:tc>
        <w:tc>
          <w:tcPr>
            <w:tcW w:w="1425" w:type="dxa"/>
            <w:shd w:val="clear" w:color="auto" w:fill="auto"/>
            <w:vAlign w:val="center"/>
          </w:tcPr>
          <w:p>
            <w:pPr>
              <w:widowControl/>
              <w:jc w:val="center"/>
              <w:rPr>
                <w:rFonts w:hint="eastAsia" w:ascii="仿宋" w:hAnsi="仿宋" w:eastAsia="仿宋"/>
                <w:color w:val="000000" w:themeColor="text1"/>
                <w:sz w:val="24"/>
              </w:rPr>
            </w:pPr>
            <w:r>
              <w:rPr>
                <w:rFonts w:hint="eastAsia" w:ascii="仿宋" w:hAnsi="仿宋" w:eastAsia="仿宋"/>
                <w:color w:val="000000" w:themeColor="text1"/>
                <w:sz w:val="24"/>
              </w:rPr>
              <w:t>单面间*2</w:t>
            </w:r>
          </w:p>
        </w:tc>
      </w:tr>
    </w:tbl>
    <w:p>
      <w:pPr>
        <w:numPr>
          <w:ilvl w:val="0"/>
          <w:numId w:val="1"/>
        </w:numPr>
        <w:spacing w:line="360" w:lineRule="auto"/>
        <w:rPr>
          <w:rFonts w:hint="eastAsia" w:ascii="仿宋" w:hAnsi="仿宋" w:eastAsia="仿宋" w:cs="宋体"/>
          <w:b/>
          <w:bCs/>
          <w:sz w:val="24"/>
          <w:lang w:val="en-US" w:eastAsia="zh-CN"/>
        </w:rPr>
      </w:pPr>
      <w:r>
        <w:rPr>
          <w:rFonts w:hint="eastAsia" w:ascii="仿宋" w:hAnsi="仿宋" w:eastAsia="仿宋" w:cs="宋体"/>
          <w:b/>
          <w:bCs/>
          <w:sz w:val="24"/>
          <w:lang w:val="en-US" w:eastAsia="zh-CN"/>
        </w:rPr>
        <w:t>招聘要求</w:t>
      </w:r>
    </w:p>
    <w:p>
      <w:pPr>
        <w:spacing w:line="360" w:lineRule="auto"/>
        <w:rPr>
          <w:rFonts w:hint="eastAsia" w:ascii="仿宋" w:hAnsi="仿宋" w:eastAsia="仿宋"/>
          <w:sz w:val="24"/>
        </w:rPr>
      </w:pPr>
      <w:r>
        <w:rPr>
          <w:rFonts w:hint="eastAsia" w:ascii="仿宋" w:hAnsi="仿宋" w:eastAsia="仿宋"/>
          <w:sz w:val="24"/>
        </w:rPr>
        <w:t>1、</w:t>
      </w:r>
      <w:r>
        <w:rPr>
          <w:rFonts w:ascii="仿宋" w:hAnsi="仿宋" w:eastAsia="仿宋"/>
          <w:sz w:val="24"/>
        </w:rPr>
        <w:t>全国统一招收录取的全日制普通高等院校</w:t>
      </w:r>
      <w:r>
        <w:rPr>
          <w:rFonts w:hint="eastAsia" w:ascii="仿宋" w:hAnsi="仿宋" w:eastAsia="仿宋"/>
          <w:sz w:val="24"/>
        </w:rPr>
        <w:t>2020年应届</w:t>
      </w:r>
      <w:r>
        <w:rPr>
          <w:rFonts w:ascii="仿宋" w:hAnsi="仿宋" w:eastAsia="仿宋"/>
          <w:sz w:val="24"/>
        </w:rPr>
        <w:t>毕业生，</w:t>
      </w:r>
      <w:r>
        <w:rPr>
          <w:rFonts w:hint="eastAsia" w:ascii="仿宋" w:hAnsi="仿宋" w:eastAsia="仿宋"/>
          <w:sz w:val="24"/>
        </w:rPr>
        <w:t>同时应届毕业生需毕业证、学位证、就业报到证“三证齐全”；</w:t>
      </w:r>
    </w:p>
    <w:p>
      <w:pPr>
        <w:spacing w:line="360" w:lineRule="auto"/>
        <w:rPr>
          <w:rFonts w:ascii="仿宋" w:hAnsi="仿宋" w:eastAsia="仿宋"/>
          <w:sz w:val="24"/>
        </w:rPr>
      </w:pPr>
      <w:r>
        <w:rPr>
          <w:rFonts w:hint="eastAsia" w:ascii="仿宋" w:hAnsi="仿宋" w:eastAsia="仿宋"/>
          <w:sz w:val="24"/>
        </w:rPr>
        <w:t>2、国（境）外留学生其毕业院校应在国家教育部公布的国家（地区）的学校名单内，毕业时间为2019年7月至2020年6月内，并于2020年7月之前通过国家教育部学历认证；</w:t>
      </w:r>
    </w:p>
    <w:p>
      <w:pPr>
        <w:spacing w:line="360" w:lineRule="auto"/>
        <w:rPr>
          <w:rFonts w:ascii="仿宋" w:hAnsi="仿宋" w:eastAsia="仿宋"/>
          <w:sz w:val="24"/>
        </w:rPr>
      </w:pPr>
      <w:r>
        <w:rPr>
          <w:rFonts w:hint="eastAsia" w:ascii="仿宋" w:hAnsi="仿宋" w:eastAsia="仿宋"/>
          <w:sz w:val="24"/>
        </w:rPr>
        <w:t>3、满足岗位要求，专业对口，成绩优异，吃苦耐劳，有责任心，身体健康。</w:t>
      </w:r>
      <w:r>
        <w:rPr>
          <w:rFonts w:ascii="仿宋" w:hAnsi="仿宋" w:eastAsia="仿宋"/>
          <w:sz w:val="24"/>
        </w:rPr>
        <w:t xml:space="preserve"> </w:t>
      </w:r>
    </w:p>
    <w:p>
      <w:pPr>
        <w:numPr>
          <w:ilvl w:val="0"/>
          <w:numId w:val="1"/>
        </w:numPr>
        <w:spacing w:line="360" w:lineRule="auto"/>
        <w:rPr>
          <w:rFonts w:hint="eastAsia" w:ascii="仿宋" w:hAnsi="仿宋" w:eastAsia="仿宋" w:cs="宋体"/>
          <w:b/>
          <w:bCs/>
          <w:sz w:val="24"/>
          <w:lang w:val="en-US" w:eastAsia="zh-CN"/>
        </w:rPr>
      </w:pPr>
      <w:r>
        <w:rPr>
          <w:rFonts w:hint="eastAsia" w:ascii="仿宋" w:hAnsi="仿宋" w:eastAsia="仿宋" w:cs="宋体"/>
          <w:b/>
          <w:bCs/>
          <w:sz w:val="24"/>
          <w:lang w:val="en-US" w:eastAsia="zh-CN"/>
        </w:rPr>
        <w:t>职业发展及薪酬福利</w:t>
      </w:r>
    </w:p>
    <w:p>
      <w:pPr>
        <w:spacing w:line="360" w:lineRule="auto"/>
        <w:rPr>
          <w:rFonts w:ascii="仿宋" w:hAnsi="仿宋" w:eastAsia="仿宋"/>
          <w:sz w:val="24"/>
        </w:rPr>
      </w:pPr>
      <w:r>
        <w:rPr>
          <w:rFonts w:hint="eastAsia" w:ascii="仿宋" w:hAnsi="仿宋" w:eastAsia="仿宋"/>
          <w:sz w:val="24"/>
        </w:rPr>
        <w:t>1、职业发展：新员工领航计划、国际人才库、千人计划等完善的多通道职业发展体系。</w:t>
      </w:r>
    </w:p>
    <w:p>
      <w:pPr>
        <w:spacing w:line="360" w:lineRule="auto"/>
        <w:rPr>
          <w:rFonts w:ascii="仿宋" w:hAnsi="仿宋" w:eastAsia="仿宋"/>
          <w:sz w:val="24"/>
        </w:rPr>
      </w:pPr>
      <w:r>
        <w:rPr>
          <w:rFonts w:hint="eastAsia" w:ascii="仿宋" w:hAnsi="仿宋" w:eastAsia="仿宋"/>
          <w:sz w:val="24"/>
        </w:rPr>
        <w:t>2、薪酬福利：</w:t>
      </w:r>
    </w:p>
    <w:p>
      <w:pPr>
        <w:numPr>
          <w:ilvl w:val="0"/>
          <w:numId w:val="2"/>
        </w:numPr>
        <w:spacing w:line="360" w:lineRule="auto"/>
        <w:rPr>
          <w:rFonts w:hint="eastAsia" w:ascii="仿宋" w:hAnsi="仿宋" w:eastAsia="仿宋"/>
          <w:sz w:val="24"/>
        </w:rPr>
      </w:pPr>
      <w:r>
        <w:rPr>
          <w:rFonts w:hint="eastAsia" w:ascii="仿宋" w:hAnsi="仿宋" w:eastAsia="仿宋"/>
          <w:sz w:val="24"/>
        </w:rPr>
        <w:t>薪酬：基本薪酬+绩效工资、八险两金、年终奖、购房津贴、海外津贴、工程津贴、差旅补贴、实习补贴。</w:t>
      </w:r>
    </w:p>
    <w:p>
      <w:pPr>
        <w:numPr>
          <w:ilvl w:val="0"/>
          <w:numId w:val="2"/>
        </w:numPr>
        <w:spacing w:line="360" w:lineRule="auto"/>
        <w:rPr>
          <w:rFonts w:ascii="仿宋" w:hAnsi="仿宋" w:eastAsia="仿宋"/>
          <w:sz w:val="24"/>
        </w:rPr>
      </w:pPr>
      <w:r>
        <w:rPr>
          <w:rFonts w:hint="eastAsia" w:ascii="仿宋" w:hAnsi="仿宋" w:eastAsia="仿宋"/>
          <w:sz w:val="24"/>
        </w:rPr>
        <w:t>安家费：根据教育程度享受2.4万元-4.8万元的安家费补贴（分两年按月发放）。</w:t>
      </w:r>
    </w:p>
    <w:p>
      <w:pPr>
        <w:numPr>
          <w:ilvl w:val="0"/>
          <w:numId w:val="2"/>
        </w:numPr>
        <w:spacing w:line="360" w:lineRule="auto"/>
        <w:rPr>
          <w:rFonts w:ascii="仿宋" w:hAnsi="仿宋" w:eastAsia="仿宋"/>
          <w:sz w:val="24"/>
        </w:rPr>
      </w:pPr>
      <w:r>
        <w:rPr>
          <w:rFonts w:hint="eastAsia" w:ascii="仿宋" w:hAnsi="仿宋" w:eastAsia="仿宋"/>
          <w:sz w:val="24"/>
        </w:rPr>
        <w:t>福利：创先争优奖励、资质取证奖励、员工商业保险自选平台、探亲休假福利、生日慰问、防暑降温福利、健康体检、人身意外险、食宿无忧。</w:t>
      </w:r>
    </w:p>
    <w:p>
      <w:pPr>
        <w:numPr>
          <w:ilvl w:val="0"/>
          <w:numId w:val="2"/>
        </w:numPr>
        <w:spacing w:line="360" w:lineRule="auto"/>
        <w:rPr>
          <w:rFonts w:ascii="仿宋" w:hAnsi="仿宋" w:eastAsia="仿宋"/>
          <w:sz w:val="24"/>
        </w:rPr>
      </w:pPr>
      <w:r>
        <w:rPr>
          <w:rFonts w:ascii="仿宋" w:hAnsi="仿宋" w:eastAsia="仿宋"/>
          <w:sz w:val="24"/>
        </w:rPr>
        <w:t>假期</w:t>
      </w:r>
      <w:r>
        <w:rPr>
          <w:rFonts w:hint="eastAsia" w:ascii="仿宋" w:hAnsi="仿宋" w:eastAsia="仿宋"/>
          <w:sz w:val="24"/>
        </w:rPr>
        <w:t>：法定规定的公休、节假日，包含</w:t>
      </w:r>
      <w:r>
        <w:rPr>
          <w:rFonts w:ascii="仿宋" w:hAnsi="仿宋" w:eastAsia="仿宋"/>
          <w:sz w:val="24"/>
        </w:rPr>
        <w:t>婚假</w:t>
      </w:r>
      <w:r>
        <w:rPr>
          <w:rFonts w:hint="eastAsia" w:ascii="仿宋" w:hAnsi="仿宋" w:eastAsia="仿宋"/>
          <w:sz w:val="24"/>
        </w:rPr>
        <w:t>、</w:t>
      </w:r>
      <w:r>
        <w:rPr>
          <w:rFonts w:ascii="仿宋" w:hAnsi="仿宋" w:eastAsia="仿宋"/>
          <w:sz w:val="24"/>
        </w:rPr>
        <w:t>产假</w:t>
      </w:r>
      <w:r>
        <w:rPr>
          <w:rFonts w:hint="eastAsia" w:ascii="仿宋" w:hAnsi="仿宋" w:eastAsia="仿宋"/>
          <w:sz w:val="24"/>
        </w:rPr>
        <w:t>、</w:t>
      </w:r>
      <w:r>
        <w:rPr>
          <w:rFonts w:ascii="仿宋" w:hAnsi="仿宋" w:eastAsia="仿宋"/>
          <w:sz w:val="24"/>
        </w:rPr>
        <w:t>探亲假等众多假期</w:t>
      </w:r>
      <w:r>
        <w:rPr>
          <w:rFonts w:hint="eastAsia" w:ascii="仿宋" w:hAnsi="仿宋" w:eastAsia="仿宋"/>
          <w:sz w:val="24"/>
        </w:rPr>
        <w:t>。</w:t>
      </w:r>
    </w:p>
    <w:p>
      <w:pPr>
        <w:numPr>
          <w:ilvl w:val="0"/>
          <w:numId w:val="2"/>
        </w:numPr>
        <w:spacing w:line="360" w:lineRule="auto"/>
        <w:rPr>
          <w:rFonts w:ascii="仿宋" w:hAnsi="仿宋" w:eastAsia="仿宋"/>
          <w:sz w:val="24"/>
        </w:rPr>
      </w:pPr>
      <w:r>
        <w:rPr>
          <w:rFonts w:ascii="仿宋" w:hAnsi="仿宋" w:eastAsia="仿宋"/>
          <w:sz w:val="24"/>
        </w:rPr>
        <w:t>落户</w:t>
      </w:r>
      <w:r>
        <w:rPr>
          <w:rFonts w:hint="eastAsia" w:ascii="仿宋" w:hAnsi="仿宋" w:eastAsia="仿宋"/>
          <w:sz w:val="24"/>
        </w:rPr>
        <w:t>：</w:t>
      </w:r>
      <w:r>
        <w:rPr>
          <w:rFonts w:ascii="仿宋" w:hAnsi="仿宋" w:eastAsia="仿宋"/>
          <w:sz w:val="24"/>
        </w:rPr>
        <w:t>公司为新员工</w:t>
      </w:r>
      <w:r>
        <w:rPr>
          <w:rFonts w:hint="eastAsia" w:ascii="仿宋" w:hAnsi="仿宋" w:eastAsia="仿宋"/>
          <w:sz w:val="24"/>
        </w:rPr>
        <w:t>（本科及以上）</w:t>
      </w:r>
      <w:r>
        <w:rPr>
          <w:rFonts w:ascii="仿宋" w:hAnsi="仿宋" w:eastAsia="仿宋"/>
          <w:sz w:val="24"/>
        </w:rPr>
        <w:t>提供最大限度的落户便利</w:t>
      </w:r>
      <w:r>
        <w:rPr>
          <w:rFonts w:hint="eastAsia" w:ascii="仿宋" w:hAnsi="仿宋" w:eastAsia="仿宋"/>
          <w:sz w:val="24"/>
        </w:rPr>
        <w:t>，</w:t>
      </w:r>
      <w:r>
        <w:rPr>
          <w:rFonts w:ascii="仿宋" w:hAnsi="仿宋" w:eastAsia="仿宋"/>
          <w:sz w:val="24"/>
        </w:rPr>
        <w:t>帮助</w:t>
      </w:r>
      <w:r>
        <w:rPr>
          <w:rFonts w:hint="eastAsia" w:ascii="仿宋" w:hAnsi="仿宋" w:eastAsia="仿宋"/>
          <w:sz w:val="24"/>
        </w:rPr>
        <w:t>新员工</w:t>
      </w:r>
      <w:r>
        <w:rPr>
          <w:rFonts w:ascii="仿宋" w:hAnsi="仿宋" w:eastAsia="仿宋"/>
          <w:sz w:val="24"/>
        </w:rPr>
        <w:t>快速获得落户资格</w:t>
      </w:r>
      <w:r>
        <w:rPr>
          <w:rFonts w:hint="eastAsia" w:ascii="仿宋" w:hAnsi="仿宋" w:eastAsia="仿宋"/>
          <w:sz w:val="24"/>
        </w:rPr>
        <w:t>，并申请本科生2万元、研究生3万元的入户补贴。</w:t>
      </w:r>
    </w:p>
    <w:p>
      <w:pPr>
        <w:numPr>
          <w:ilvl w:val="0"/>
          <w:numId w:val="1"/>
        </w:numPr>
        <w:spacing w:line="360" w:lineRule="auto"/>
        <w:rPr>
          <w:rFonts w:hint="eastAsia" w:ascii="仿宋" w:hAnsi="仿宋" w:eastAsia="仿宋" w:cs="宋体"/>
          <w:b/>
          <w:bCs/>
          <w:sz w:val="24"/>
          <w:lang w:val="en-US" w:eastAsia="zh-CN"/>
        </w:rPr>
      </w:pPr>
      <w:r>
        <w:rPr>
          <w:rFonts w:hint="eastAsia" w:ascii="仿宋" w:hAnsi="仿宋" w:eastAsia="仿宋" w:cs="宋体"/>
          <w:b/>
          <w:bCs/>
          <w:sz w:val="24"/>
          <w:lang w:val="en-US" w:eastAsia="zh-CN"/>
        </w:rPr>
        <w:t>招聘流程</w:t>
      </w:r>
    </w:p>
    <w:p>
      <w:pPr>
        <w:spacing w:line="360" w:lineRule="auto"/>
        <w:ind w:firstLine="480" w:firstLineChars="200"/>
        <w:rPr>
          <w:rFonts w:ascii="仿宋" w:hAnsi="仿宋" w:eastAsia="仿宋"/>
          <w:sz w:val="24"/>
        </w:rPr>
      </w:pPr>
      <w:r>
        <w:rPr>
          <w:rFonts w:hint="eastAsia" w:ascii="仿宋" w:hAnsi="仿宋" w:eastAsia="仿宋"/>
          <w:sz w:val="24"/>
        </w:rPr>
        <w:t>参加校园招聘会</w:t>
      </w:r>
      <w:r>
        <w:rPr>
          <w:rFonts w:ascii="仿宋" w:hAnsi="仿宋" w:eastAsia="仿宋"/>
          <w:sz w:val="24"/>
        </w:rPr>
        <w:t>—</w:t>
      </w:r>
      <w:r>
        <w:rPr>
          <w:rFonts w:hint="eastAsia" w:ascii="仿宋" w:hAnsi="仿宋" w:eastAsia="仿宋"/>
          <w:sz w:val="24"/>
        </w:rPr>
        <w:t>网申—测评—</w:t>
      </w:r>
      <w:r>
        <w:rPr>
          <w:rFonts w:ascii="仿宋" w:hAnsi="仿宋" w:eastAsia="仿宋"/>
          <w:sz w:val="24"/>
        </w:rPr>
        <w:t xml:space="preserve"> </w:t>
      </w:r>
      <w:r>
        <w:rPr>
          <w:rFonts w:hint="eastAsia" w:ascii="仿宋" w:hAnsi="仿宋" w:eastAsia="仿宋"/>
          <w:sz w:val="24"/>
        </w:rPr>
        <w:t>初试</w:t>
      </w:r>
      <w:r>
        <w:rPr>
          <w:rFonts w:ascii="仿宋" w:hAnsi="仿宋" w:eastAsia="仿宋"/>
          <w:sz w:val="24"/>
        </w:rPr>
        <w:t xml:space="preserve">— </w:t>
      </w:r>
      <w:r>
        <w:rPr>
          <w:rFonts w:hint="eastAsia" w:ascii="仿宋" w:hAnsi="仿宋" w:eastAsia="仿宋"/>
          <w:sz w:val="24"/>
        </w:rPr>
        <w:t>复</w:t>
      </w:r>
      <w:r>
        <w:rPr>
          <w:rFonts w:ascii="仿宋" w:hAnsi="仿宋" w:eastAsia="仿宋"/>
          <w:sz w:val="24"/>
        </w:rPr>
        <w:t>试— 实习及录用</w:t>
      </w:r>
    </w:p>
    <w:p>
      <w:pPr>
        <w:numPr>
          <w:ilvl w:val="0"/>
          <w:numId w:val="1"/>
        </w:numPr>
        <w:spacing w:line="360" w:lineRule="auto"/>
        <w:rPr>
          <w:rFonts w:hint="eastAsia" w:ascii="仿宋" w:hAnsi="仿宋" w:eastAsia="仿宋" w:cs="宋体"/>
          <w:b/>
          <w:bCs/>
          <w:sz w:val="24"/>
          <w:lang w:val="en-US" w:eastAsia="zh-CN"/>
        </w:rPr>
      </w:pPr>
      <w:r>
        <w:rPr>
          <w:rFonts w:hint="eastAsia" w:ascii="仿宋" w:hAnsi="仿宋" w:eastAsia="仿宋" w:cs="宋体"/>
          <w:b/>
          <w:bCs/>
          <w:sz w:val="24"/>
          <w:lang w:val="en-US" w:eastAsia="zh-CN"/>
        </w:rPr>
        <w:t>应聘方法：</w:t>
      </w:r>
    </w:p>
    <w:p>
      <w:pPr>
        <w:ind w:firstLine="480" w:firstLineChars="200"/>
        <w:rPr>
          <w:rFonts w:ascii="仿宋" w:hAnsi="仿宋" w:eastAsia="仿宋"/>
          <w:color w:val="000000" w:themeColor="text1"/>
          <w:sz w:val="24"/>
        </w:rPr>
      </w:pPr>
      <w:r>
        <w:rPr>
          <w:rFonts w:hint="eastAsia" w:ascii="仿宋" w:hAnsi="仿宋" w:eastAsia="仿宋"/>
          <w:color w:val="000000" w:themeColor="text1"/>
          <w:sz w:val="24"/>
        </w:rPr>
        <w:t>1、敬请扫描二维码登录中国能源建设集团广东火电工程有限公司网申系统投递简历：</w:t>
      </w:r>
    </w:p>
    <w:p>
      <w:pPr>
        <w:ind w:firstLine="480" w:firstLineChars="200"/>
        <w:rPr>
          <w:rFonts w:ascii="宋体" w:hAnsi="宋体" w:cs="宋体"/>
          <w:color w:val="FF0000"/>
          <w:kern w:val="0"/>
          <w:sz w:val="24"/>
        </w:rPr>
      </w:pPr>
      <w:r>
        <w:rPr>
          <w:rFonts w:ascii="宋体" w:hAnsi="宋体" w:cs="宋体"/>
          <w:color w:val="FF0000"/>
          <w:kern w:val="0"/>
          <w:sz w:val="24"/>
        </w:rPr>
        <w:drawing>
          <wp:inline distT="0" distB="0" distL="0" distR="0">
            <wp:extent cx="1518920" cy="1518920"/>
            <wp:effectExtent l="0" t="0" r="5080" b="5080"/>
            <wp:docPr id="2" name="图片 2" descr="2019年校园招聘网申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9年校园招聘网申二维码"/>
                    <pic:cNvPicPr>
                      <a:picLocks noChangeAspect="1" noChangeArrowheads="1"/>
                    </pic:cNvPicPr>
                  </pic:nvPicPr>
                  <pic:blipFill>
                    <a:blip r:embed="rId5"/>
                    <a:srcRect/>
                    <a:stretch>
                      <a:fillRect/>
                    </a:stretch>
                  </pic:blipFill>
                  <pic:spPr>
                    <a:xfrm>
                      <a:off x="0" y="0"/>
                      <a:ext cx="1518920" cy="1518920"/>
                    </a:xfrm>
                    <a:prstGeom prst="rect">
                      <a:avLst/>
                    </a:prstGeom>
                    <a:noFill/>
                    <a:ln w="9525">
                      <a:noFill/>
                      <a:miter lim="800000"/>
                      <a:headEnd/>
                      <a:tailEnd/>
                    </a:ln>
                  </pic:spPr>
                </pic:pic>
              </a:graphicData>
            </a:graphic>
          </wp:inline>
        </w:drawing>
      </w:r>
    </w:p>
    <w:p>
      <w:pPr>
        <w:spacing w:line="360" w:lineRule="auto"/>
        <w:ind w:firstLine="480" w:firstLineChars="200"/>
        <w:rPr>
          <w:rFonts w:ascii="仿宋" w:hAnsi="仿宋" w:eastAsia="仿宋"/>
          <w:color w:val="000000" w:themeColor="text1"/>
          <w:sz w:val="24"/>
        </w:rPr>
      </w:pPr>
      <w:r>
        <w:rPr>
          <w:rFonts w:hint="eastAsia" w:ascii="仿宋" w:hAnsi="仿宋" w:eastAsia="仿宋"/>
          <w:color w:val="000000" w:themeColor="text1"/>
          <w:sz w:val="24"/>
        </w:rPr>
        <w:t>2、参加公司组织的宣讲会或双选会，现场投递简历，或将简历投入公司邮箱hr0102@ceec.net.cn。</w:t>
      </w:r>
    </w:p>
    <w:p>
      <w:pPr>
        <w:numPr>
          <w:ilvl w:val="0"/>
          <w:numId w:val="1"/>
        </w:numPr>
        <w:spacing w:line="360" w:lineRule="auto"/>
        <w:rPr>
          <w:rFonts w:hint="eastAsia" w:ascii="仿宋" w:hAnsi="仿宋" w:eastAsia="仿宋" w:cs="宋体"/>
          <w:b/>
          <w:bCs/>
          <w:sz w:val="24"/>
          <w:lang w:val="en-US" w:eastAsia="zh-CN"/>
        </w:rPr>
      </w:pPr>
      <w:r>
        <w:rPr>
          <w:rFonts w:hint="eastAsia" w:ascii="仿宋" w:hAnsi="仿宋" w:eastAsia="仿宋" w:cs="宋体"/>
          <w:b/>
          <w:bCs/>
          <w:sz w:val="24"/>
          <w:lang w:val="en-US" w:eastAsia="zh-CN"/>
        </w:rPr>
        <w:t>联系我们</w:t>
      </w:r>
    </w:p>
    <w:p>
      <w:pPr>
        <w:spacing w:line="360" w:lineRule="auto"/>
        <w:ind w:firstLine="435"/>
        <w:jc w:val="left"/>
        <w:rPr>
          <w:rFonts w:ascii="仿宋" w:hAnsi="仿宋" w:eastAsia="仿宋"/>
          <w:color w:val="FF0000"/>
          <w:szCs w:val="21"/>
        </w:rPr>
      </w:pPr>
      <w:r>
        <w:rPr>
          <w:rFonts w:hint="eastAsia" w:ascii="仿宋" w:hAnsi="仿宋" w:eastAsia="仿宋"/>
          <w:color w:val="000000" w:themeColor="text1"/>
          <w:szCs w:val="21"/>
        </w:rPr>
        <w:t xml:space="preserve">联系人：张先生020-82094217；王小姐 020-82094313  </w:t>
      </w:r>
      <w:r>
        <w:rPr>
          <w:rFonts w:hint="eastAsia" w:ascii="仿宋" w:hAnsi="仿宋" w:eastAsia="仿宋"/>
          <w:color w:val="FF0000"/>
          <w:szCs w:val="21"/>
        </w:rPr>
        <w:t xml:space="preserve">  </w:t>
      </w:r>
    </w:p>
    <w:p>
      <w:pPr>
        <w:spacing w:line="360" w:lineRule="auto"/>
        <w:ind w:firstLine="435"/>
        <w:jc w:val="left"/>
        <w:rPr>
          <w:rFonts w:ascii="仿宋" w:hAnsi="仿宋" w:eastAsia="仿宋"/>
          <w:color w:val="333333"/>
          <w:szCs w:val="21"/>
        </w:rPr>
      </w:pPr>
      <w:r>
        <w:rPr>
          <w:rFonts w:hint="eastAsia" w:ascii="仿宋" w:hAnsi="仿宋" w:eastAsia="仿宋"/>
          <w:color w:val="333333"/>
          <w:szCs w:val="21"/>
        </w:rPr>
        <w:t>地址：广州市黄埔区红荔路2号</w:t>
      </w:r>
    </w:p>
    <w:p>
      <w:pPr>
        <w:spacing w:line="360" w:lineRule="auto"/>
        <w:ind w:firstLine="435"/>
        <w:jc w:val="left"/>
        <w:rPr>
          <w:rFonts w:ascii="仿宋" w:hAnsi="仿宋" w:eastAsia="仿宋"/>
          <w:color w:val="333333"/>
          <w:szCs w:val="21"/>
        </w:rPr>
      </w:pPr>
      <w:r>
        <w:rPr>
          <w:rFonts w:hint="eastAsia" w:ascii="仿宋" w:hAnsi="仿宋" w:eastAsia="仿宋"/>
          <w:color w:val="333333"/>
          <w:szCs w:val="21"/>
        </w:rPr>
        <w:t xml:space="preserve">邮编：510730     </w:t>
      </w:r>
    </w:p>
    <w:p>
      <w:pPr>
        <w:spacing w:line="360" w:lineRule="auto"/>
        <w:ind w:firstLine="435"/>
        <w:jc w:val="left"/>
        <w:rPr>
          <w:rFonts w:ascii="仿宋" w:hAnsi="仿宋" w:eastAsia="仿宋" w:cs="宋体"/>
          <w:kern w:val="0"/>
          <w:szCs w:val="21"/>
        </w:rPr>
      </w:pPr>
      <w:r>
        <w:rPr>
          <w:rFonts w:hint="eastAsia" w:ascii="仿宋" w:hAnsi="仿宋" w:eastAsia="仿宋" w:cs="宋体"/>
          <w:kern w:val="0"/>
          <w:szCs w:val="21"/>
        </w:rPr>
        <w:t>公司官网：</w:t>
      </w:r>
      <w:r>
        <w:rPr>
          <w:rFonts w:ascii="仿宋" w:hAnsi="仿宋" w:eastAsia="仿宋" w:cs="宋体"/>
          <w:kern w:val="0"/>
          <w:szCs w:val="21"/>
        </w:rPr>
        <w:t>http://www.gpec.ceec.net.cn</w:t>
      </w:r>
    </w:p>
    <w:p>
      <w:pPr>
        <w:spacing w:line="360" w:lineRule="auto"/>
        <w:ind w:firstLine="435"/>
        <w:jc w:val="left"/>
        <w:rPr>
          <w:rFonts w:ascii="仿宋" w:hAnsi="仿宋" w:eastAsia="仿宋" w:cs="宋体"/>
          <w:kern w:val="0"/>
          <w:szCs w:val="21"/>
        </w:rPr>
      </w:pPr>
      <w:r>
        <w:rPr>
          <w:rFonts w:hint="eastAsia" w:ascii="仿宋" w:hAnsi="仿宋" w:eastAsia="仿宋" w:cs="宋体"/>
          <w:kern w:val="0"/>
          <w:szCs w:val="21"/>
        </w:rPr>
        <w:t>请扫码关注公司官方微信订阅号                    更多公司信息请扫码查阅</w:t>
      </w:r>
    </w:p>
    <w:p>
      <w:pPr>
        <w:spacing w:line="360" w:lineRule="auto"/>
        <w:ind w:firstLine="435"/>
        <w:jc w:val="left"/>
        <w:rPr>
          <w:rFonts w:ascii="仿宋" w:hAnsi="仿宋" w:eastAsia="仿宋" w:cs="宋体"/>
          <w:kern w:val="0"/>
          <w:szCs w:val="21"/>
        </w:rPr>
      </w:pPr>
      <w:r>
        <w:rPr>
          <w:rFonts w:ascii="仿宋" w:hAnsi="仿宋" w:eastAsia="仿宋" w:cs="宋体"/>
          <w:kern w:val="0"/>
          <w:szCs w:val="21"/>
        </w:rPr>
        <w:drawing>
          <wp:inline distT="0" distB="0" distL="0" distR="0">
            <wp:extent cx="2011680" cy="2011680"/>
            <wp:effectExtent l="19050" t="0" r="7620" b="0"/>
            <wp:docPr id="5" name="图片 1" descr="C:\Users\songdaqi\Desktop\微信图片_2019090514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songdaqi\Desktop\微信图片_20190905140114.jpg"/>
                    <pic:cNvPicPr>
                      <a:picLocks noChangeAspect="1" noChangeArrowheads="1"/>
                    </pic:cNvPicPr>
                  </pic:nvPicPr>
                  <pic:blipFill>
                    <a:blip r:embed="rId6"/>
                    <a:srcRect/>
                    <a:stretch>
                      <a:fillRect/>
                    </a:stretch>
                  </pic:blipFill>
                  <pic:spPr>
                    <a:xfrm>
                      <a:off x="0" y="0"/>
                      <a:ext cx="2011776" cy="2011776"/>
                    </a:xfrm>
                    <a:prstGeom prst="rect">
                      <a:avLst/>
                    </a:prstGeom>
                    <a:noFill/>
                    <a:ln w="9525">
                      <a:noFill/>
                      <a:miter lim="800000"/>
                      <a:headEnd/>
                      <a:tailEnd/>
                    </a:ln>
                  </pic:spPr>
                </pic:pic>
              </a:graphicData>
            </a:graphic>
          </wp:inline>
        </w:drawing>
      </w:r>
      <w:r>
        <w:rPr>
          <w:rFonts w:hint="eastAsia" w:ascii="仿宋" w:hAnsi="仿宋" w:eastAsia="仿宋" w:cs="宋体"/>
          <w:kern w:val="0"/>
          <w:szCs w:val="21"/>
        </w:rPr>
        <w:t xml:space="preserve">              </w:t>
      </w:r>
      <w:r>
        <w:rPr>
          <w:rFonts w:ascii="仿宋" w:hAnsi="仿宋" w:eastAsia="仿宋" w:cs="宋体"/>
          <w:kern w:val="0"/>
          <w:szCs w:val="21"/>
        </w:rPr>
        <w:drawing>
          <wp:inline distT="0" distB="0" distL="0" distR="0">
            <wp:extent cx="1884045" cy="1884045"/>
            <wp:effectExtent l="19050" t="0" r="1491" b="0"/>
            <wp:docPr id="6" name="图片 2" descr="C:\Users\songdaq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C:\Users\songdaqi\Desktop\untitled.png"/>
                    <pic:cNvPicPr>
                      <a:picLocks noChangeAspect="1" noChangeArrowheads="1"/>
                    </pic:cNvPicPr>
                  </pic:nvPicPr>
                  <pic:blipFill>
                    <a:blip r:embed="rId7"/>
                    <a:srcRect/>
                    <a:stretch>
                      <a:fillRect/>
                    </a:stretch>
                  </pic:blipFill>
                  <pic:spPr>
                    <a:xfrm>
                      <a:off x="0" y="0"/>
                      <a:ext cx="1887436" cy="1887436"/>
                    </a:xfrm>
                    <a:prstGeom prst="rect">
                      <a:avLst/>
                    </a:prstGeom>
                    <a:noFill/>
                    <a:ln w="9525">
                      <a:noFill/>
                      <a:miter lim="800000"/>
                      <a:headEnd/>
                      <a:tailEnd/>
                    </a:ln>
                  </pic:spPr>
                </pic:pic>
              </a:graphicData>
            </a:graphic>
          </wp:inline>
        </w:drawing>
      </w:r>
    </w:p>
    <w:p>
      <w:pPr>
        <w:spacing w:line="360" w:lineRule="auto"/>
        <w:ind w:firstLine="435"/>
        <w:jc w:val="left"/>
        <w:rPr>
          <w:rFonts w:ascii="仿宋" w:hAnsi="仿宋" w:eastAsia="仿宋" w:cs="宋体"/>
          <w:kern w:val="0"/>
          <w:szCs w:val="21"/>
        </w:rPr>
      </w:pPr>
      <w:r>
        <w:rPr>
          <w:rFonts w:hint="eastAsia" w:ascii="仿宋" w:hAnsi="仿宋" w:eastAsia="仿宋" w:cs="宋体"/>
          <w:kern w:val="0"/>
          <w:szCs w:val="21"/>
        </w:rPr>
        <w:t>中国能源建设集团广东火电工程有限公司诚邀你的加入!</w:t>
      </w:r>
    </w:p>
    <w:sectPr>
      <w:headerReference r:id="rId3" w:type="default"/>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pPr>
    <w:r>
      <w:drawing>
        <wp:inline distT="0" distB="0" distL="0" distR="0">
          <wp:extent cx="2377440" cy="262255"/>
          <wp:effectExtent l="1905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2377440" cy="2622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4D7AC"/>
    <w:multiLevelType w:val="singleLevel"/>
    <w:tmpl w:val="5DC4D7AC"/>
    <w:lvl w:ilvl="0" w:tentative="0">
      <w:start w:val="3"/>
      <w:numFmt w:val="chineseCounting"/>
      <w:suff w:val="nothing"/>
      <w:lvlText w:val="%1、"/>
      <w:lvlJc w:val="left"/>
    </w:lvl>
  </w:abstractNum>
  <w:abstractNum w:abstractNumId="1">
    <w:nsid w:val="6F10179C"/>
    <w:multiLevelType w:val="multilevel"/>
    <w:tmpl w:val="6F10179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785F"/>
    <w:rsid w:val="00000F2A"/>
    <w:rsid w:val="00001221"/>
    <w:rsid w:val="00003C9F"/>
    <w:rsid w:val="000065CE"/>
    <w:rsid w:val="00010C3C"/>
    <w:rsid w:val="0001129B"/>
    <w:rsid w:val="00011366"/>
    <w:rsid w:val="000170E0"/>
    <w:rsid w:val="00034350"/>
    <w:rsid w:val="0003578E"/>
    <w:rsid w:val="00037003"/>
    <w:rsid w:val="00037C89"/>
    <w:rsid w:val="0004184A"/>
    <w:rsid w:val="0004509B"/>
    <w:rsid w:val="00050346"/>
    <w:rsid w:val="0005071E"/>
    <w:rsid w:val="00055815"/>
    <w:rsid w:val="00064869"/>
    <w:rsid w:val="0006591C"/>
    <w:rsid w:val="00067070"/>
    <w:rsid w:val="00071DEC"/>
    <w:rsid w:val="00073663"/>
    <w:rsid w:val="00077865"/>
    <w:rsid w:val="00083B5B"/>
    <w:rsid w:val="00084741"/>
    <w:rsid w:val="00086A05"/>
    <w:rsid w:val="00090E0F"/>
    <w:rsid w:val="0009541E"/>
    <w:rsid w:val="00096403"/>
    <w:rsid w:val="000A0792"/>
    <w:rsid w:val="000A284C"/>
    <w:rsid w:val="000A68EF"/>
    <w:rsid w:val="000A6F40"/>
    <w:rsid w:val="000B0AE0"/>
    <w:rsid w:val="000B2081"/>
    <w:rsid w:val="000B3253"/>
    <w:rsid w:val="000B686E"/>
    <w:rsid w:val="000C05F9"/>
    <w:rsid w:val="000C72FC"/>
    <w:rsid w:val="000C7A1C"/>
    <w:rsid w:val="000D1141"/>
    <w:rsid w:val="000D4694"/>
    <w:rsid w:val="000D76C2"/>
    <w:rsid w:val="000D7EFC"/>
    <w:rsid w:val="000E0986"/>
    <w:rsid w:val="000E276D"/>
    <w:rsid w:val="000E6FFD"/>
    <w:rsid w:val="000F2E4A"/>
    <w:rsid w:val="000F36B5"/>
    <w:rsid w:val="001058B6"/>
    <w:rsid w:val="00113311"/>
    <w:rsid w:val="001165DA"/>
    <w:rsid w:val="001237CA"/>
    <w:rsid w:val="00130677"/>
    <w:rsid w:val="00131947"/>
    <w:rsid w:val="001353E5"/>
    <w:rsid w:val="0013559B"/>
    <w:rsid w:val="001365E1"/>
    <w:rsid w:val="00143EA7"/>
    <w:rsid w:val="0014734A"/>
    <w:rsid w:val="001508D3"/>
    <w:rsid w:val="0015432F"/>
    <w:rsid w:val="00156591"/>
    <w:rsid w:val="001612F5"/>
    <w:rsid w:val="001625E3"/>
    <w:rsid w:val="001727E4"/>
    <w:rsid w:val="00180EF1"/>
    <w:rsid w:val="00187D80"/>
    <w:rsid w:val="00190902"/>
    <w:rsid w:val="001911A7"/>
    <w:rsid w:val="001926AF"/>
    <w:rsid w:val="001A38B7"/>
    <w:rsid w:val="001A70AD"/>
    <w:rsid w:val="001B1EF0"/>
    <w:rsid w:val="001B6232"/>
    <w:rsid w:val="001C0838"/>
    <w:rsid w:val="001C3633"/>
    <w:rsid w:val="001D3FAE"/>
    <w:rsid w:val="001E0652"/>
    <w:rsid w:val="001E7E92"/>
    <w:rsid w:val="001F06E6"/>
    <w:rsid w:val="001F0D9C"/>
    <w:rsid w:val="001F5F6F"/>
    <w:rsid w:val="001F7348"/>
    <w:rsid w:val="00203B31"/>
    <w:rsid w:val="0021150D"/>
    <w:rsid w:val="00214993"/>
    <w:rsid w:val="002177DC"/>
    <w:rsid w:val="00221AFB"/>
    <w:rsid w:val="0022485F"/>
    <w:rsid w:val="0023038F"/>
    <w:rsid w:val="002432D2"/>
    <w:rsid w:val="002468A0"/>
    <w:rsid w:val="002520C6"/>
    <w:rsid w:val="0026417A"/>
    <w:rsid w:val="0026685E"/>
    <w:rsid w:val="0027507D"/>
    <w:rsid w:val="002752B8"/>
    <w:rsid w:val="002777B7"/>
    <w:rsid w:val="00282F86"/>
    <w:rsid w:val="00284149"/>
    <w:rsid w:val="00294FE7"/>
    <w:rsid w:val="00295241"/>
    <w:rsid w:val="002955B2"/>
    <w:rsid w:val="002A2F9A"/>
    <w:rsid w:val="002B2F41"/>
    <w:rsid w:val="002B3370"/>
    <w:rsid w:val="002B35DC"/>
    <w:rsid w:val="002B6B4F"/>
    <w:rsid w:val="002C70B2"/>
    <w:rsid w:val="002C78D7"/>
    <w:rsid w:val="002D6431"/>
    <w:rsid w:val="002E4249"/>
    <w:rsid w:val="002E64FC"/>
    <w:rsid w:val="002E68B9"/>
    <w:rsid w:val="002E6CB8"/>
    <w:rsid w:val="002F1009"/>
    <w:rsid w:val="0030002D"/>
    <w:rsid w:val="0030224B"/>
    <w:rsid w:val="003042B3"/>
    <w:rsid w:val="00306343"/>
    <w:rsid w:val="00311638"/>
    <w:rsid w:val="00313D12"/>
    <w:rsid w:val="00316B39"/>
    <w:rsid w:val="003178EF"/>
    <w:rsid w:val="00320659"/>
    <w:rsid w:val="00321279"/>
    <w:rsid w:val="00322AF8"/>
    <w:rsid w:val="003302A2"/>
    <w:rsid w:val="00331573"/>
    <w:rsid w:val="00334960"/>
    <w:rsid w:val="00335380"/>
    <w:rsid w:val="00335F03"/>
    <w:rsid w:val="00336CBB"/>
    <w:rsid w:val="003435E8"/>
    <w:rsid w:val="00347B8B"/>
    <w:rsid w:val="00366178"/>
    <w:rsid w:val="0037164A"/>
    <w:rsid w:val="003752A6"/>
    <w:rsid w:val="003777BE"/>
    <w:rsid w:val="00392B34"/>
    <w:rsid w:val="00393447"/>
    <w:rsid w:val="00396C44"/>
    <w:rsid w:val="003A2391"/>
    <w:rsid w:val="003A3F6F"/>
    <w:rsid w:val="003C183B"/>
    <w:rsid w:val="003C293A"/>
    <w:rsid w:val="003C2B5E"/>
    <w:rsid w:val="003C648B"/>
    <w:rsid w:val="003E2B5E"/>
    <w:rsid w:val="003E4F80"/>
    <w:rsid w:val="003F24C3"/>
    <w:rsid w:val="003F5BE5"/>
    <w:rsid w:val="0041789F"/>
    <w:rsid w:val="004201B5"/>
    <w:rsid w:val="004243A9"/>
    <w:rsid w:val="004310DE"/>
    <w:rsid w:val="004315BE"/>
    <w:rsid w:val="00440D80"/>
    <w:rsid w:val="00445FF1"/>
    <w:rsid w:val="004511BB"/>
    <w:rsid w:val="00453341"/>
    <w:rsid w:val="00453451"/>
    <w:rsid w:val="00453AA2"/>
    <w:rsid w:val="0045472C"/>
    <w:rsid w:val="00456D96"/>
    <w:rsid w:val="00457DF2"/>
    <w:rsid w:val="00462C57"/>
    <w:rsid w:val="00463AFA"/>
    <w:rsid w:val="004644B3"/>
    <w:rsid w:val="00467F2A"/>
    <w:rsid w:val="00471EFD"/>
    <w:rsid w:val="004722DD"/>
    <w:rsid w:val="00473489"/>
    <w:rsid w:val="004832D3"/>
    <w:rsid w:val="00483935"/>
    <w:rsid w:val="00485275"/>
    <w:rsid w:val="00495B8E"/>
    <w:rsid w:val="0049778B"/>
    <w:rsid w:val="004A04C2"/>
    <w:rsid w:val="004A271A"/>
    <w:rsid w:val="004B6616"/>
    <w:rsid w:val="004B6E95"/>
    <w:rsid w:val="004B7796"/>
    <w:rsid w:val="004B7F11"/>
    <w:rsid w:val="004C6738"/>
    <w:rsid w:val="004E0386"/>
    <w:rsid w:val="004E6500"/>
    <w:rsid w:val="005268D2"/>
    <w:rsid w:val="00527106"/>
    <w:rsid w:val="00535479"/>
    <w:rsid w:val="00550E24"/>
    <w:rsid w:val="00557E2A"/>
    <w:rsid w:val="00565204"/>
    <w:rsid w:val="005701CA"/>
    <w:rsid w:val="0057269E"/>
    <w:rsid w:val="00590B7E"/>
    <w:rsid w:val="00591164"/>
    <w:rsid w:val="005B058E"/>
    <w:rsid w:val="005B2ECC"/>
    <w:rsid w:val="005B34FD"/>
    <w:rsid w:val="005B3532"/>
    <w:rsid w:val="005B6045"/>
    <w:rsid w:val="005B72AB"/>
    <w:rsid w:val="005C1701"/>
    <w:rsid w:val="005C4852"/>
    <w:rsid w:val="005C50BE"/>
    <w:rsid w:val="005C6E94"/>
    <w:rsid w:val="005D0011"/>
    <w:rsid w:val="005E2983"/>
    <w:rsid w:val="005E5A03"/>
    <w:rsid w:val="005F03F9"/>
    <w:rsid w:val="005F7C86"/>
    <w:rsid w:val="00604EAB"/>
    <w:rsid w:val="00616D9D"/>
    <w:rsid w:val="0062568F"/>
    <w:rsid w:val="0063287B"/>
    <w:rsid w:val="006360FC"/>
    <w:rsid w:val="00644704"/>
    <w:rsid w:val="0065293C"/>
    <w:rsid w:val="00655C07"/>
    <w:rsid w:val="006566E9"/>
    <w:rsid w:val="00660AEF"/>
    <w:rsid w:val="00660E3F"/>
    <w:rsid w:val="00674981"/>
    <w:rsid w:val="00675D62"/>
    <w:rsid w:val="006912B5"/>
    <w:rsid w:val="00691A0C"/>
    <w:rsid w:val="00697FE0"/>
    <w:rsid w:val="006A2F3B"/>
    <w:rsid w:val="006A6E53"/>
    <w:rsid w:val="006B0FFB"/>
    <w:rsid w:val="006B5758"/>
    <w:rsid w:val="006B625D"/>
    <w:rsid w:val="006C622C"/>
    <w:rsid w:val="006C7142"/>
    <w:rsid w:val="006D16A6"/>
    <w:rsid w:val="006D21ED"/>
    <w:rsid w:val="006D58AA"/>
    <w:rsid w:val="006E3ED5"/>
    <w:rsid w:val="006E3F87"/>
    <w:rsid w:val="006F2C96"/>
    <w:rsid w:val="006F5225"/>
    <w:rsid w:val="006F720B"/>
    <w:rsid w:val="00702988"/>
    <w:rsid w:val="007065B3"/>
    <w:rsid w:val="00706DB0"/>
    <w:rsid w:val="00707FD2"/>
    <w:rsid w:val="007121D6"/>
    <w:rsid w:val="007252D0"/>
    <w:rsid w:val="00726816"/>
    <w:rsid w:val="00731474"/>
    <w:rsid w:val="00731CDA"/>
    <w:rsid w:val="007401CE"/>
    <w:rsid w:val="00740743"/>
    <w:rsid w:val="00742B37"/>
    <w:rsid w:val="007440DD"/>
    <w:rsid w:val="00745CCE"/>
    <w:rsid w:val="00751458"/>
    <w:rsid w:val="00752029"/>
    <w:rsid w:val="00754849"/>
    <w:rsid w:val="00754AC8"/>
    <w:rsid w:val="00756BBE"/>
    <w:rsid w:val="00761CE4"/>
    <w:rsid w:val="00774271"/>
    <w:rsid w:val="00774903"/>
    <w:rsid w:val="00776E16"/>
    <w:rsid w:val="007814F9"/>
    <w:rsid w:val="00783977"/>
    <w:rsid w:val="007965AB"/>
    <w:rsid w:val="007A2F6B"/>
    <w:rsid w:val="007B29B5"/>
    <w:rsid w:val="007B5D04"/>
    <w:rsid w:val="007C3062"/>
    <w:rsid w:val="007C34D2"/>
    <w:rsid w:val="007C5220"/>
    <w:rsid w:val="007C7609"/>
    <w:rsid w:val="007D13C7"/>
    <w:rsid w:val="007D38AE"/>
    <w:rsid w:val="007E3AF5"/>
    <w:rsid w:val="007E3D02"/>
    <w:rsid w:val="007E47C3"/>
    <w:rsid w:val="007E4E1E"/>
    <w:rsid w:val="007E74EC"/>
    <w:rsid w:val="007E7EAF"/>
    <w:rsid w:val="007F17CB"/>
    <w:rsid w:val="007F6A9F"/>
    <w:rsid w:val="0080106D"/>
    <w:rsid w:val="00807E99"/>
    <w:rsid w:val="00811030"/>
    <w:rsid w:val="00812C48"/>
    <w:rsid w:val="00813388"/>
    <w:rsid w:val="00816176"/>
    <w:rsid w:val="00822B9A"/>
    <w:rsid w:val="00832388"/>
    <w:rsid w:val="00832876"/>
    <w:rsid w:val="00844774"/>
    <w:rsid w:val="00867226"/>
    <w:rsid w:val="0087381F"/>
    <w:rsid w:val="008763DC"/>
    <w:rsid w:val="00877459"/>
    <w:rsid w:val="00877EA3"/>
    <w:rsid w:val="00883446"/>
    <w:rsid w:val="00886C7F"/>
    <w:rsid w:val="00892F74"/>
    <w:rsid w:val="0089351F"/>
    <w:rsid w:val="00893BA5"/>
    <w:rsid w:val="0089458B"/>
    <w:rsid w:val="008A1D27"/>
    <w:rsid w:val="008A5402"/>
    <w:rsid w:val="008A5D75"/>
    <w:rsid w:val="008C0407"/>
    <w:rsid w:val="008C2BF3"/>
    <w:rsid w:val="008C3489"/>
    <w:rsid w:val="008C3CFC"/>
    <w:rsid w:val="008C6822"/>
    <w:rsid w:val="008C7D4B"/>
    <w:rsid w:val="008E0A88"/>
    <w:rsid w:val="008E6752"/>
    <w:rsid w:val="008E6918"/>
    <w:rsid w:val="008F7895"/>
    <w:rsid w:val="009032DB"/>
    <w:rsid w:val="00917B99"/>
    <w:rsid w:val="00923BD9"/>
    <w:rsid w:val="00923CA5"/>
    <w:rsid w:val="00926884"/>
    <w:rsid w:val="0093107A"/>
    <w:rsid w:val="00934DD4"/>
    <w:rsid w:val="00935BBA"/>
    <w:rsid w:val="00935EBE"/>
    <w:rsid w:val="00942375"/>
    <w:rsid w:val="00944C98"/>
    <w:rsid w:val="00962A09"/>
    <w:rsid w:val="009650F9"/>
    <w:rsid w:val="0096604A"/>
    <w:rsid w:val="00970F3B"/>
    <w:rsid w:val="00971991"/>
    <w:rsid w:val="009752BF"/>
    <w:rsid w:val="00980261"/>
    <w:rsid w:val="009A0655"/>
    <w:rsid w:val="009A190A"/>
    <w:rsid w:val="009A5203"/>
    <w:rsid w:val="009A65E2"/>
    <w:rsid w:val="009A6CB5"/>
    <w:rsid w:val="009B04F9"/>
    <w:rsid w:val="009C0A8D"/>
    <w:rsid w:val="009C4BDF"/>
    <w:rsid w:val="009C5695"/>
    <w:rsid w:val="009C722B"/>
    <w:rsid w:val="009F1F9C"/>
    <w:rsid w:val="009F4398"/>
    <w:rsid w:val="00A01EED"/>
    <w:rsid w:val="00A04E94"/>
    <w:rsid w:val="00A05C52"/>
    <w:rsid w:val="00A110FE"/>
    <w:rsid w:val="00A11DBC"/>
    <w:rsid w:val="00A14448"/>
    <w:rsid w:val="00A148A3"/>
    <w:rsid w:val="00A17F5A"/>
    <w:rsid w:val="00A26459"/>
    <w:rsid w:val="00A31FFC"/>
    <w:rsid w:val="00A36139"/>
    <w:rsid w:val="00A511E6"/>
    <w:rsid w:val="00A633C8"/>
    <w:rsid w:val="00A63E43"/>
    <w:rsid w:val="00A63FFF"/>
    <w:rsid w:val="00A6736D"/>
    <w:rsid w:val="00A705A2"/>
    <w:rsid w:val="00A76182"/>
    <w:rsid w:val="00A86569"/>
    <w:rsid w:val="00A87428"/>
    <w:rsid w:val="00A92BF0"/>
    <w:rsid w:val="00A975F0"/>
    <w:rsid w:val="00AB7558"/>
    <w:rsid w:val="00AB785F"/>
    <w:rsid w:val="00AB7EEE"/>
    <w:rsid w:val="00AC6F2F"/>
    <w:rsid w:val="00AE5046"/>
    <w:rsid w:val="00AF1287"/>
    <w:rsid w:val="00AF78E5"/>
    <w:rsid w:val="00B01809"/>
    <w:rsid w:val="00B02A1E"/>
    <w:rsid w:val="00B1074E"/>
    <w:rsid w:val="00B1428F"/>
    <w:rsid w:val="00B206B2"/>
    <w:rsid w:val="00B3331F"/>
    <w:rsid w:val="00B41F56"/>
    <w:rsid w:val="00B428DB"/>
    <w:rsid w:val="00B44A0B"/>
    <w:rsid w:val="00B61F78"/>
    <w:rsid w:val="00B712F3"/>
    <w:rsid w:val="00B74CE7"/>
    <w:rsid w:val="00B75503"/>
    <w:rsid w:val="00B81318"/>
    <w:rsid w:val="00B85DA4"/>
    <w:rsid w:val="00BA0E62"/>
    <w:rsid w:val="00BA7B67"/>
    <w:rsid w:val="00BB7553"/>
    <w:rsid w:val="00BC7FC3"/>
    <w:rsid w:val="00BD070E"/>
    <w:rsid w:val="00BD163C"/>
    <w:rsid w:val="00BE0ED0"/>
    <w:rsid w:val="00BE17F4"/>
    <w:rsid w:val="00BE23F0"/>
    <w:rsid w:val="00BE39A6"/>
    <w:rsid w:val="00BE4B72"/>
    <w:rsid w:val="00BE795B"/>
    <w:rsid w:val="00BF3B85"/>
    <w:rsid w:val="00BF3CA3"/>
    <w:rsid w:val="00BF5AF6"/>
    <w:rsid w:val="00C01C9E"/>
    <w:rsid w:val="00C0308B"/>
    <w:rsid w:val="00C044E4"/>
    <w:rsid w:val="00C05A62"/>
    <w:rsid w:val="00C07006"/>
    <w:rsid w:val="00C142C1"/>
    <w:rsid w:val="00C171F6"/>
    <w:rsid w:val="00C24838"/>
    <w:rsid w:val="00C319BA"/>
    <w:rsid w:val="00C34BCA"/>
    <w:rsid w:val="00C36093"/>
    <w:rsid w:val="00C44ED8"/>
    <w:rsid w:val="00C52BC3"/>
    <w:rsid w:val="00C541F9"/>
    <w:rsid w:val="00C54A28"/>
    <w:rsid w:val="00C610F6"/>
    <w:rsid w:val="00C63A8E"/>
    <w:rsid w:val="00C661B6"/>
    <w:rsid w:val="00C72863"/>
    <w:rsid w:val="00C76CB0"/>
    <w:rsid w:val="00C81032"/>
    <w:rsid w:val="00C868E8"/>
    <w:rsid w:val="00C936D8"/>
    <w:rsid w:val="00C95AE7"/>
    <w:rsid w:val="00C965A4"/>
    <w:rsid w:val="00C9670E"/>
    <w:rsid w:val="00CA125A"/>
    <w:rsid w:val="00CA1422"/>
    <w:rsid w:val="00CA299D"/>
    <w:rsid w:val="00CA5059"/>
    <w:rsid w:val="00CA61D2"/>
    <w:rsid w:val="00CB6436"/>
    <w:rsid w:val="00CC2857"/>
    <w:rsid w:val="00CC34F4"/>
    <w:rsid w:val="00CD38B1"/>
    <w:rsid w:val="00CD4F14"/>
    <w:rsid w:val="00CD50B1"/>
    <w:rsid w:val="00CD73B8"/>
    <w:rsid w:val="00CE0C4E"/>
    <w:rsid w:val="00CE2AF3"/>
    <w:rsid w:val="00CE4866"/>
    <w:rsid w:val="00CE4FE3"/>
    <w:rsid w:val="00CF23E9"/>
    <w:rsid w:val="00D05E58"/>
    <w:rsid w:val="00D10589"/>
    <w:rsid w:val="00D34E92"/>
    <w:rsid w:val="00D358A4"/>
    <w:rsid w:val="00D35CCA"/>
    <w:rsid w:val="00D36BA2"/>
    <w:rsid w:val="00D428E3"/>
    <w:rsid w:val="00D46422"/>
    <w:rsid w:val="00D52780"/>
    <w:rsid w:val="00D536AD"/>
    <w:rsid w:val="00D54D06"/>
    <w:rsid w:val="00D604B6"/>
    <w:rsid w:val="00D61846"/>
    <w:rsid w:val="00D64F4E"/>
    <w:rsid w:val="00D71225"/>
    <w:rsid w:val="00D72CE2"/>
    <w:rsid w:val="00D74800"/>
    <w:rsid w:val="00D77749"/>
    <w:rsid w:val="00D77940"/>
    <w:rsid w:val="00D865E2"/>
    <w:rsid w:val="00D918CE"/>
    <w:rsid w:val="00D9257E"/>
    <w:rsid w:val="00D935F5"/>
    <w:rsid w:val="00D94283"/>
    <w:rsid w:val="00D956F2"/>
    <w:rsid w:val="00DA0F22"/>
    <w:rsid w:val="00DA0F9C"/>
    <w:rsid w:val="00DA731D"/>
    <w:rsid w:val="00DB05BE"/>
    <w:rsid w:val="00DB0F90"/>
    <w:rsid w:val="00DB6E6C"/>
    <w:rsid w:val="00DB7F42"/>
    <w:rsid w:val="00DD07C6"/>
    <w:rsid w:val="00DD1F5C"/>
    <w:rsid w:val="00DD5B02"/>
    <w:rsid w:val="00DE3BE8"/>
    <w:rsid w:val="00DE3F41"/>
    <w:rsid w:val="00DE5CDF"/>
    <w:rsid w:val="00DF0171"/>
    <w:rsid w:val="00DF1D05"/>
    <w:rsid w:val="00DF2008"/>
    <w:rsid w:val="00DF2F6B"/>
    <w:rsid w:val="00DF6D28"/>
    <w:rsid w:val="00DF79C3"/>
    <w:rsid w:val="00E021EB"/>
    <w:rsid w:val="00E034B1"/>
    <w:rsid w:val="00E03D36"/>
    <w:rsid w:val="00E12496"/>
    <w:rsid w:val="00E132BE"/>
    <w:rsid w:val="00E204DD"/>
    <w:rsid w:val="00E2417E"/>
    <w:rsid w:val="00E306F5"/>
    <w:rsid w:val="00E36EC1"/>
    <w:rsid w:val="00E37AF6"/>
    <w:rsid w:val="00E402F8"/>
    <w:rsid w:val="00E4224D"/>
    <w:rsid w:val="00E45F7B"/>
    <w:rsid w:val="00E475F5"/>
    <w:rsid w:val="00E52250"/>
    <w:rsid w:val="00E53CDD"/>
    <w:rsid w:val="00E62ABE"/>
    <w:rsid w:val="00E6417C"/>
    <w:rsid w:val="00E64293"/>
    <w:rsid w:val="00E671F8"/>
    <w:rsid w:val="00E70517"/>
    <w:rsid w:val="00E76606"/>
    <w:rsid w:val="00E83821"/>
    <w:rsid w:val="00E83FA4"/>
    <w:rsid w:val="00E860E5"/>
    <w:rsid w:val="00E90BD4"/>
    <w:rsid w:val="00E9148B"/>
    <w:rsid w:val="00E91FF2"/>
    <w:rsid w:val="00E93B4E"/>
    <w:rsid w:val="00EA3832"/>
    <w:rsid w:val="00EA4FA6"/>
    <w:rsid w:val="00EA796D"/>
    <w:rsid w:val="00EB064A"/>
    <w:rsid w:val="00EB0773"/>
    <w:rsid w:val="00EB0E9C"/>
    <w:rsid w:val="00EB524F"/>
    <w:rsid w:val="00EB6F9D"/>
    <w:rsid w:val="00EC254B"/>
    <w:rsid w:val="00EC5AC1"/>
    <w:rsid w:val="00EC689E"/>
    <w:rsid w:val="00ED55B7"/>
    <w:rsid w:val="00EE4B42"/>
    <w:rsid w:val="00EE4FAB"/>
    <w:rsid w:val="00EE620B"/>
    <w:rsid w:val="00EF1E2D"/>
    <w:rsid w:val="00EF20F9"/>
    <w:rsid w:val="00EF2214"/>
    <w:rsid w:val="00EF343C"/>
    <w:rsid w:val="00EF60EF"/>
    <w:rsid w:val="00F02DBD"/>
    <w:rsid w:val="00F13F95"/>
    <w:rsid w:val="00F16AB2"/>
    <w:rsid w:val="00F17E3A"/>
    <w:rsid w:val="00F24138"/>
    <w:rsid w:val="00F247B0"/>
    <w:rsid w:val="00F27D47"/>
    <w:rsid w:val="00F33C47"/>
    <w:rsid w:val="00F37E68"/>
    <w:rsid w:val="00F52257"/>
    <w:rsid w:val="00F5680B"/>
    <w:rsid w:val="00F61579"/>
    <w:rsid w:val="00F62D7B"/>
    <w:rsid w:val="00F72621"/>
    <w:rsid w:val="00F72650"/>
    <w:rsid w:val="00F731C3"/>
    <w:rsid w:val="00F738B4"/>
    <w:rsid w:val="00F76EAD"/>
    <w:rsid w:val="00F80F2E"/>
    <w:rsid w:val="00F815A8"/>
    <w:rsid w:val="00F82F79"/>
    <w:rsid w:val="00F913D1"/>
    <w:rsid w:val="00F92129"/>
    <w:rsid w:val="00F945A0"/>
    <w:rsid w:val="00F964F3"/>
    <w:rsid w:val="00FA5446"/>
    <w:rsid w:val="00FA5E2B"/>
    <w:rsid w:val="00FA79A8"/>
    <w:rsid w:val="00FB0370"/>
    <w:rsid w:val="00FB248D"/>
    <w:rsid w:val="00FB7090"/>
    <w:rsid w:val="00FC7D9F"/>
    <w:rsid w:val="00FE2AA4"/>
    <w:rsid w:val="00FE3FB4"/>
    <w:rsid w:val="00FF00D6"/>
    <w:rsid w:val="00FF2B26"/>
    <w:rsid w:val="025116C8"/>
    <w:rsid w:val="182048FA"/>
    <w:rsid w:val="23AB3C94"/>
    <w:rsid w:val="5AFF34B7"/>
    <w:rsid w:val="63B40D6C"/>
    <w:rsid w:val="65A514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adjustRightInd w:val="0"/>
      <w:spacing w:line="560" w:lineRule="exact"/>
      <w:ind w:firstLine="624"/>
      <w:jc w:val="left"/>
      <w:textAlignment w:val="baseline"/>
    </w:pPr>
    <w:rPr>
      <w:rFonts w:eastAsia="仿宋_GB2312"/>
      <w:kern w:val="0"/>
      <w:sz w:val="32"/>
      <w:szCs w:val="20"/>
    </w:rPr>
  </w:style>
  <w:style w:type="paragraph" w:styleId="3">
    <w:name w:val="Body Text Indent"/>
    <w:basedOn w:val="1"/>
    <w:qFormat/>
    <w:uiPriority w:val="0"/>
    <w:pPr>
      <w:ind w:firstLine="270" w:firstLineChars="150"/>
    </w:pPr>
    <w:rPr>
      <w:sz w:val="18"/>
      <w:szCs w:val="18"/>
    </w:rPr>
  </w:style>
  <w:style w:type="paragraph" w:styleId="4">
    <w:name w:val="Date"/>
    <w:basedOn w:val="1"/>
    <w:next w:val="1"/>
    <w:qFormat/>
    <w:uiPriority w:val="0"/>
    <w:pPr>
      <w:ind w:left="100" w:leftChars="2500"/>
    </w:p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after="100" w:afterAutospacing="1"/>
      <w:ind w:firstLine="480"/>
      <w:jc w:val="left"/>
    </w:pPr>
    <w:rPr>
      <w:rFonts w:ascii="宋体" w:hAnsi="宋体" w:cs="宋体"/>
      <w:kern w:val="0"/>
      <w:sz w:val="24"/>
    </w:rPr>
  </w:style>
  <w:style w:type="character" w:styleId="10">
    <w:name w:val="Strong"/>
    <w:qFormat/>
    <w:uiPriority w:val="22"/>
    <w:rPr>
      <w:b/>
      <w:bCs/>
    </w:rPr>
  </w:style>
  <w:style w:type="character" w:styleId="11">
    <w:name w:val="Hyperlink"/>
    <w:qFormat/>
    <w:uiPriority w:val="0"/>
    <w:rPr>
      <w:color w:val="0000FF"/>
      <w:u w:val="single"/>
    </w:rPr>
  </w:style>
  <w:style w:type="paragraph" w:customStyle="1" w:styleId="13">
    <w:name w:val="Char"/>
    <w:basedOn w:val="1"/>
    <w:qFormat/>
    <w:uiPriority w:val="0"/>
    <w:rPr>
      <w:rFonts w:ascii="Tahoma" w:hAnsi="Tahoma"/>
      <w:sz w:val="24"/>
      <w:szCs w:val="20"/>
    </w:rPr>
  </w:style>
  <w:style w:type="character" w:customStyle="1" w:styleId="14">
    <w:name w:val="访问过的超链接"/>
    <w:qFormat/>
    <w:uiPriority w:val="0"/>
    <w:rPr>
      <w:color w:val="800080"/>
      <w:u w:val="single"/>
    </w:rPr>
  </w:style>
  <w:style w:type="paragraph" w:customStyle="1" w:styleId="15">
    <w:name w:val="列出段落1"/>
    <w:basedOn w:val="1"/>
    <w:qFormat/>
    <w:uiPriority w:val="34"/>
    <w:pPr>
      <w:ind w:firstLine="420" w:firstLineChars="200"/>
    </w:pPr>
  </w:style>
  <w:style w:type="character" w:customStyle="1" w:styleId="16">
    <w:name w:val="批注框文本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gpec</Company>
  <Pages>3</Pages>
  <Words>264</Words>
  <Characters>1506</Characters>
  <Lines>12</Lines>
  <Paragraphs>3</Paragraphs>
  <TotalTime>0</TotalTime>
  <ScaleCrop>false</ScaleCrop>
  <LinksUpToDate>false</LinksUpToDate>
  <CharactersWithSpaces>1767</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2019-09-16T08:15:00Z</dcterms:created>
  <dc:creator>gpecuser</dc:creator>
  <cp:lastModifiedBy>王芬</cp:lastModifiedBy>
  <cp:lastPrinted>2012-10-12T06:09:00Z</cp:lastPrinted>
  <dcterms:modified xsi:type="dcterms:W3CDTF">2019-11-08T02:36:06Z</dcterms:modified>
  <dc:title>广东火电人员需求计划</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